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5F7359" w14:textId="1010E06E" w:rsidR="008341E0" w:rsidRDefault="008341E0" w:rsidP="008341E0">
      <w:pPr>
        <w:jc w:val="center"/>
        <w:rPr>
          <w:rFonts w:eastAsia="Times New Roman" w:hint="eastAsia"/>
          <w:b/>
        </w:rPr>
      </w:pPr>
      <w:r w:rsidRPr="008341E0">
        <w:rPr>
          <w:rFonts w:eastAsia="Times New Roman"/>
          <w:b/>
        </w:rPr>
        <w:t xml:space="preserve">ML4T – </w:t>
      </w:r>
      <w:r w:rsidRPr="00A87B53">
        <w:rPr>
          <w:rFonts w:eastAsia="Times New Roman"/>
          <w:b/>
        </w:rPr>
        <w:t>Strategy</w:t>
      </w:r>
      <w:r w:rsidR="00E32E1B">
        <w:rPr>
          <w:rFonts w:eastAsia="Times New Roman"/>
          <w:b/>
        </w:rPr>
        <w:t xml:space="preserve"> Learner</w:t>
      </w:r>
    </w:p>
    <w:p w14:paraId="65CC6219" w14:textId="77777777" w:rsidR="00365993" w:rsidRDefault="00365993" w:rsidP="008341E0">
      <w:pPr>
        <w:jc w:val="center"/>
        <w:rPr>
          <w:rFonts w:eastAsia="Times New Roman" w:hint="eastAsia"/>
          <w:b/>
        </w:rPr>
      </w:pPr>
    </w:p>
    <w:p w14:paraId="6CDC38C3" w14:textId="7F4948DD" w:rsidR="00365993" w:rsidRPr="00805047" w:rsidRDefault="00365993" w:rsidP="00805047">
      <w:pPr>
        <w:pStyle w:val="ListParagraph"/>
        <w:rPr>
          <w:rFonts w:ascii="Times New Roman" w:eastAsia="Times New Roman" w:hAnsi="Times New Roman" w:cs="Times New Roman"/>
        </w:rPr>
      </w:pPr>
      <w:r w:rsidRPr="00365993">
        <w:rPr>
          <w:rFonts w:ascii="Times New Roman" w:eastAsia="Times New Roman" w:hAnsi="Times New Roman" w:cs="Times New Roman"/>
        </w:rPr>
        <w:t xml:space="preserve">This project is to design a trading </w:t>
      </w:r>
      <w:r>
        <w:rPr>
          <w:rFonts w:ascii="Times New Roman" w:eastAsia="Times New Roman" w:hAnsi="Times New Roman" w:cs="Times New Roman" w:hint="eastAsia"/>
        </w:rPr>
        <w:t>robot</w:t>
      </w:r>
      <w:r w:rsidR="002264F7">
        <w:rPr>
          <w:rFonts w:ascii="Times New Roman" w:eastAsia="Times New Roman" w:hAnsi="Times New Roman" w:cs="Times New Roman" w:hint="eastAsia"/>
        </w:rPr>
        <w:t xml:space="preserve"> </w:t>
      </w:r>
      <w:r w:rsidR="002774F0">
        <w:rPr>
          <w:rFonts w:ascii="Times New Roman" w:eastAsia="Times New Roman" w:hAnsi="Times New Roman" w:cs="Times New Roman"/>
        </w:rPr>
        <w:t>that</w:t>
      </w:r>
      <w:r w:rsidR="002264F7">
        <w:rPr>
          <w:rFonts w:ascii="Times New Roman" w:eastAsia="Times New Roman" w:hAnsi="Times New Roman" w:cs="Times New Roman" w:hint="eastAsia"/>
        </w:rPr>
        <w:t xml:space="preserve"> </w:t>
      </w:r>
      <w:r w:rsidR="0006619C">
        <w:rPr>
          <w:rFonts w:ascii="Times New Roman" w:eastAsia="Times New Roman" w:hAnsi="Times New Roman" w:cs="Times New Roman"/>
        </w:rPr>
        <w:t xml:space="preserve">develops </w:t>
      </w:r>
      <w:r w:rsidR="0006619C">
        <w:rPr>
          <w:rFonts w:ascii="Times New Roman" w:eastAsia="Times New Roman" w:hAnsi="Times New Roman" w:cs="Times New Roman" w:hint="eastAsia"/>
        </w:rPr>
        <w:t xml:space="preserve">trading strategy </w:t>
      </w:r>
      <w:r w:rsidR="0006619C">
        <w:rPr>
          <w:rFonts w:ascii="Times New Roman" w:eastAsia="Times New Roman" w:hAnsi="Times New Roman" w:cs="Times New Roman"/>
        </w:rPr>
        <w:t xml:space="preserve">by learning from the </w:t>
      </w:r>
      <w:r w:rsidR="002774F0">
        <w:rPr>
          <w:rFonts w:ascii="Times New Roman" w:eastAsia="Times New Roman" w:hAnsi="Times New Roman" w:cs="Times New Roman"/>
        </w:rPr>
        <w:t>empirical experiences</w:t>
      </w:r>
      <w:r w:rsidRPr="00365993">
        <w:rPr>
          <w:rFonts w:ascii="Times New Roman" w:eastAsia="Times New Roman" w:hAnsi="Times New Roman" w:cs="Times New Roman"/>
        </w:rPr>
        <w:t xml:space="preserve">. My strategy learner </w:t>
      </w:r>
      <w:r w:rsidR="002774F0">
        <w:rPr>
          <w:rFonts w:ascii="Times New Roman" w:eastAsia="Times New Roman" w:hAnsi="Times New Roman" w:cs="Times New Roman"/>
        </w:rPr>
        <w:t>uses r</w:t>
      </w:r>
      <w:r w:rsidR="00805047">
        <w:rPr>
          <w:rFonts w:ascii="Times New Roman" w:eastAsia="Times New Roman" w:hAnsi="Times New Roman" w:cs="Times New Roman"/>
        </w:rPr>
        <w:t>andom forest, which consists of a multitude of random decision tress, to</w:t>
      </w:r>
      <w:r w:rsidRPr="00365993">
        <w:rPr>
          <w:rFonts w:ascii="Times New Roman" w:eastAsia="Times New Roman" w:hAnsi="Times New Roman" w:cs="Times New Roman"/>
        </w:rPr>
        <w:t xml:space="preserve"> train a classification </w:t>
      </w:r>
      <w:r w:rsidR="00805047">
        <w:rPr>
          <w:rFonts w:ascii="Times New Roman" w:eastAsia="Times New Roman" w:hAnsi="Times New Roman" w:cs="Times New Roman"/>
        </w:rPr>
        <w:t>learner by exploiting the indicators constructed from the stock prices.</w:t>
      </w:r>
      <w:r w:rsidRPr="00365993">
        <w:rPr>
          <w:rFonts w:ascii="Times New Roman" w:eastAsia="Times New Roman" w:hAnsi="Times New Roman" w:cs="Times New Roman"/>
        </w:rPr>
        <w:t xml:space="preserve"> </w:t>
      </w:r>
    </w:p>
    <w:p w14:paraId="6ED8FF30" w14:textId="77777777" w:rsidR="008341E0" w:rsidRDefault="008341E0" w:rsidP="008341E0">
      <w:pPr>
        <w:rPr>
          <w:rFonts w:eastAsia="Times New Roman"/>
        </w:rPr>
      </w:pPr>
    </w:p>
    <w:p w14:paraId="256C2D2E" w14:textId="77777777" w:rsidR="00F57C2D" w:rsidRDefault="001F7D95" w:rsidP="00F57C2D">
      <w:pPr>
        <w:pStyle w:val="ListParagraph"/>
        <w:numPr>
          <w:ilvl w:val="0"/>
          <w:numId w:val="1"/>
        </w:numPr>
        <w:rPr>
          <w:rFonts w:ascii="Times New Roman" w:eastAsia="Times New Roman" w:hAnsi="Times New Roman" w:cs="Times New Roman"/>
          <w:b/>
        </w:rPr>
      </w:pPr>
      <w:r>
        <w:rPr>
          <w:rFonts w:ascii="Times New Roman" w:eastAsia="Times New Roman" w:hAnsi="Times New Roman" w:cs="Times New Roman"/>
          <w:b/>
        </w:rPr>
        <w:t xml:space="preserve">Random </w:t>
      </w:r>
      <w:r w:rsidR="00E61175">
        <w:rPr>
          <w:rFonts w:ascii="Times New Roman" w:eastAsia="Times New Roman" w:hAnsi="Times New Roman" w:cs="Times New Roman" w:hint="eastAsia"/>
          <w:b/>
        </w:rPr>
        <w:t>Forest</w:t>
      </w:r>
      <w:r w:rsidR="00805047">
        <w:rPr>
          <w:rFonts w:ascii="Times New Roman" w:eastAsia="Times New Roman" w:hAnsi="Times New Roman" w:cs="Times New Roman"/>
          <w:b/>
        </w:rPr>
        <w:t xml:space="preserve"> Classification Trading Learner</w:t>
      </w:r>
    </w:p>
    <w:p w14:paraId="2CC22669" w14:textId="77777777" w:rsidR="00F57C2D" w:rsidRDefault="00F57C2D" w:rsidP="00F57C2D">
      <w:pPr>
        <w:pStyle w:val="ListParagraph"/>
        <w:rPr>
          <w:rFonts w:ascii="Times New Roman" w:eastAsia="Times New Roman" w:hAnsi="Times New Roman" w:cs="Times New Roman"/>
          <w:b/>
        </w:rPr>
      </w:pPr>
    </w:p>
    <w:p w14:paraId="70DF2B8B" w14:textId="5B561307" w:rsidR="00425F09" w:rsidRPr="00425F09" w:rsidRDefault="00805047" w:rsidP="00425F09">
      <w:pPr>
        <w:pStyle w:val="ListParagraph"/>
        <w:rPr>
          <w:rFonts w:ascii="Times New Roman" w:eastAsia="Times New Roman" w:hAnsi="Times New Roman" w:cs="Times New Roman"/>
        </w:rPr>
      </w:pPr>
      <w:r w:rsidRPr="00F57C2D">
        <w:rPr>
          <w:rFonts w:ascii="Times New Roman" w:eastAsia="Times New Roman" w:hAnsi="Times New Roman"/>
        </w:rPr>
        <w:t>Random forest</w:t>
      </w:r>
      <w:r w:rsidRPr="00F57C2D">
        <w:rPr>
          <w:rFonts w:ascii="Times New Roman" w:eastAsia="Times New Roman" w:hAnsi="Times New Roman"/>
        </w:rPr>
        <w:t xml:space="preserve"> </w:t>
      </w:r>
      <w:r w:rsidRPr="00F57C2D">
        <w:rPr>
          <w:rFonts w:ascii="Times New Roman" w:eastAsia="Times New Roman" w:hAnsi="Times New Roman"/>
        </w:rPr>
        <w:t>operate</w:t>
      </w:r>
      <w:r w:rsidR="00F57C2D" w:rsidRPr="00F57C2D">
        <w:rPr>
          <w:rFonts w:ascii="Times New Roman" w:eastAsia="Times New Roman" w:hAnsi="Times New Roman"/>
        </w:rPr>
        <w:t>s</w:t>
      </w:r>
      <w:r w:rsidRPr="00F57C2D">
        <w:rPr>
          <w:rFonts w:ascii="Times New Roman" w:eastAsia="Times New Roman" w:hAnsi="Times New Roman"/>
        </w:rPr>
        <w:t xml:space="preserve"> by constructing a </w:t>
      </w:r>
      <w:r w:rsidR="00F57C2D" w:rsidRPr="00F57C2D">
        <w:rPr>
          <w:rFonts w:ascii="Times New Roman" w:eastAsia="Times New Roman" w:hAnsi="Times New Roman"/>
        </w:rPr>
        <w:t>bunch</w:t>
      </w:r>
      <w:r w:rsidRPr="00F57C2D">
        <w:rPr>
          <w:rFonts w:ascii="Times New Roman" w:eastAsia="Times New Roman" w:hAnsi="Times New Roman"/>
        </w:rPr>
        <w:t xml:space="preserve"> of</w:t>
      </w:r>
      <w:r w:rsidR="00F57C2D" w:rsidRPr="00F57C2D">
        <w:rPr>
          <w:rFonts w:ascii="Times New Roman" w:eastAsia="Times New Roman" w:hAnsi="Times New Roman"/>
        </w:rPr>
        <w:t xml:space="preserve"> random decision trees </w:t>
      </w:r>
      <w:r w:rsidRPr="00F57C2D">
        <w:rPr>
          <w:rFonts w:ascii="Times New Roman" w:eastAsia="Times New Roman" w:hAnsi="Times New Roman"/>
        </w:rPr>
        <w:t>at training time</w:t>
      </w:r>
      <w:r w:rsidR="00F57C2D" w:rsidRPr="00F57C2D">
        <w:rPr>
          <w:rFonts w:ascii="Times New Roman" w:eastAsia="Times New Roman" w:hAnsi="Times New Roman"/>
        </w:rPr>
        <w:t xml:space="preserve">. </w:t>
      </w:r>
      <w:r w:rsidRPr="00F57C2D">
        <w:rPr>
          <w:rFonts w:ascii="Times New Roman" w:eastAsia="Times New Roman" w:hAnsi="Times New Roman"/>
        </w:rPr>
        <w:t>Random decision forest</w:t>
      </w:r>
      <w:r w:rsidR="00F57C2D" w:rsidRPr="00F57C2D">
        <w:rPr>
          <w:rFonts w:ascii="Times New Roman" w:eastAsia="Times New Roman" w:hAnsi="Times New Roman"/>
        </w:rPr>
        <w:t xml:space="preserve"> reduces the model variance, hence effectively corrects the overfitting issues. It repeatedly samples from the training data, and train a random tree learner based on the sample data once a time. After the recursion of random trees training, random forest averages the bunch of learners, </w:t>
      </w:r>
      <w:r w:rsidR="00F57C2D" w:rsidRPr="00F57C2D">
        <w:rPr>
          <w:rFonts w:ascii="Times New Roman" w:eastAsia="Times New Roman" w:hAnsi="Times New Roman"/>
        </w:rPr>
        <w:t>thus neutralizes the</w:t>
      </w:r>
      <w:r w:rsidR="00F57C2D" w:rsidRPr="00F57C2D">
        <w:rPr>
          <w:rFonts w:ascii="Times New Roman" w:eastAsia="Times New Roman" w:hAnsi="Times New Roman"/>
        </w:rPr>
        <w:t xml:space="preserve"> </w:t>
      </w:r>
      <w:r w:rsidR="00F57C2D" w:rsidRPr="00F57C2D">
        <w:rPr>
          <w:rFonts w:ascii="Times New Roman" w:eastAsia="Times New Roman" w:hAnsi="Times New Roman"/>
        </w:rPr>
        <w:t>overfitting</w:t>
      </w:r>
      <w:r w:rsidR="00F57C2D" w:rsidRPr="00F57C2D">
        <w:rPr>
          <w:rFonts w:ascii="Times New Roman" w:eastAsia="Times New Roman" w:hAnsi="Times New Roman" w:cs="Times New Roman"/>
        </w:rPr>
        <w:t xml:space="preserve"> effect that results from relying on single learner.</w:t>
      </w:r>
      <w:r w:rsidR="00244077">
        <w:rPr>
          <w:rFonts w:ascii="Times New Roman" w:eastAsia="Times New Roman" w:hAnsi="Times New Roman" w:cs="Times New Roman"/>
        </w:rPr>
        <w:t xml:space="preserve"> We employed the random forest with 10 random decision trees featuring leaf size of 5. </w:t>
      </w:r>
    </w:p>
    <w:p w14:paraId="350AD481" w14:textId="77777777" w:rsidR="00F57C2D" w:rsidRDefault="00F57C2D" w:rsidP="00F57C2D">
      <w:pPr>
        <w:pStyle w:val="ListParagraph"/>
        <w:rPr>
          <w:rFonts w:ascii="Times New Roman" w:eastAsia="Times New Roman" w:hAnsi="Times New Roman"/>
        </w:rPr>
      </w:pPr>
    </w:p>
    <w:p w14:paraId="41670427" w14:textId="7A1A268E" w:rsidR="00894DD4" w:rsidRPr="004B2C7D" w:rsidRDefault="00F57C2D" w:rsidP="004B2C7D">
      <w:pPr>
        <w:pStyle w:val="ListParagraph"/>
        <w:rPr>
          <w:rFonts w:ascii="Times New Roman" w:eastAsia="Times New Roman" w:hAnsi="Times New Roman" w:cs="Times New Roman"/>
        </w:rPr>
      </w:pPr>
      <w:r>
        <w:rPr>
          <w:rFonts w:ascii="Times New Roman" w:eastAsia="Times New Roman" w:hAnsi="Times New Roman" w:cs="Times New Roman"/>
        </w:rPr>
        <w:t xml:space="preserve">To develop the random forest trading robot, I used </w:t>
      </w:r>
      <w:r w:rsidR="0020683C">
        <w:rPr>
          <w:rFonts w:ascii="Times New Roman" w:eastAsia="Times New Roman" w:hAnsi="Times New Roman" w:cs="Times New Roman"/>
        </w:rPr>
        <w:t>the same</w:t>
      </w:r>
      <w:r>
        <w:rPr>
          <w:rFonts w:ascii="Times New Roman" w:eastAsia="Times New Roman" w:hAnsi="Times New Roman" w:cs="Times New Roman"/>
        </w:rPr>
        <w:t xml:space="preserve"> technical indicators</w:t>
      </w:r>
      <w:r w:rsidR="0020683C">
        <w:rPr>
          <w:rFonts w:ascii="Times New Roman" w:eastAsia="Times New Roman" w:hAnsi="Times New Roman" w:cs="Times New Roman"/>
        </w:rPr>
        <w:t xml:space="preserve"> as we introduced in the Manuel Strategy project. The 4 technical indicators, which serves as the independent variables, are </w:t>
      </w:r>
      <w:r>
        <w:rPr>
          <w:rFonts w:ascii="Times New Roman" w:eastAsia="Times New Roman" w:hAnsi="Times New Roman" w:cs="Times New Roman"/>
        </w:rPr>
        <w:t>listed as follows</w:t>
      </w:r>
      <w:r w:rsidR="0020683C">
        <w:rPr>
          <w:rFonts w:ascii="Times New Roman" w:eastAsia="Times New Roman" w:hAnsi="Times New Roman" w:cs="Times New Roman"/>
        </w:rPr>
        <w:t>:</w:t>
      </w:r>
    </w:p>
    <w:p w14:paraId="45E81BFC" w14:textId="77777777" w:rsidR="00894DD4" w:rsidRDefault="00894DD4" w:rsidP="00894DD4">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Price/SMA indicator, which compares the stock price with the 20-day moving average;</w:t>
      </w:r>
    </w:p>
    <w:p w14:paraId="74866770" w14:textId="77777777" w:rsidR="00894DD4" w:rsidRDefault="00894DD4" w:rsidP="00894DD4">
      <w:pPr>
        <w:pStyle w:val="ListParagraph"/>
        <w:numPr>
          <w:ilvl w:val="0"/>
          <w:numId w:val="4"/>
        </w:numPr>
        <w:rPr>
          <w:rFonts w:ascii="Times New Roman" w:eastAsia="Times New Roman" w:hAnsi="Times New Roman" w:cs="Times New Roman"/>
        </w:rPr>
      </w:pPr>
      <m:oMath>
        <m:r>
          <w:rPr>
            <w:rFonts w:ascii="Cambria Math" w:eastAsia="Times New Roman" w:hAnsi="Cambria Math" w:cs="Times New Roman"/>
          </w:rPr>
          <m:t>BB</m:t>
        </m:r>
      </m:oMath>
      <w:r>
        <w:rPr>
          <w:rFonts w:ascii="Times New Roman" w:eastAsia="Times New Roman" w:hAnsi="Times New Roman" w:cs="Times New Roman"/>
        </w:rPr>
        <w:t xml:space="preserve"> indicator, which compares the stock price with the Bollin</w:t>
      </w:r>
      <w:proofErr w:type="spellStart"/>
      <w:r>
        <w:rPr>
          <w:rFonts w:ascii="Times New Roman" w:eastAsia="Times New Roman" w:hAnsi="Times New Roman" w:cs="Times New Roman"/>
        </w:rPr>
        <w:t>ger</w:t>
      </w:r>
      <w:proofErr w:type="spellEnd"/>
      <w:r>
        <w:rPr>
          <w:rFonts w:ascii="Times New Roman" w:eastAsia="Times New Roman" w:hAnsi="Times New Roman" w:cs="Times New Roman"/>
        </w:rPr>
        <w:t xml:space="preserve"> Bands with 20-day moving average and </w:t>
      </w:r>
      <m:oMath>
        <m:r>
          <w:rPr>
            <w:rFonts w:ascii="Cambria Math" w:eastAsia="Times New Roman" w:hAnsi="Cambria Math" w:cs="Times New Roman"/>
          </w:rPr>
          <m:t>±</m:t>
        </m:r>
      </m:oMath>
      <w:r>
        <w:rPr>
          <w:rFonts w:ascii="Times New Roman" w:eastAsia="Times New Roman" w:hAnsi="Times New Roman" w:cs="Times New Roman"/>
        </w:rPr>
        <w:t xml:space="preserve"> two 20-day moving standard deviation;</w:t>
      </w:r>
    </w:p>
    <w:p w14:paraId="633B2C2C" w14:textId="77777777" w:rsidR="00894DD4" w:rsidRDefault="00894DD4" w:rsidP="00894DD4">
      <w:pPr>
        <w:pStyle w:val="ListParagraph"/>
        <w:numPr>
          <w:ilvl w:val="0"/>
          <w:numId w:val="4"/>
        </w:numPr>
        <w:rPr>
          <w:rFonts w:ascii="Times New Roman" w:eastAsia="Times New Roman" w:hAnsi="Times New Roman" w:cs="Times New Roman"/>
        </w:rPr>
      </w:pPr>
      <m:oMath>
        <m:r>
          <w:rPr>
            <w:rFonts w:ascii="Cambria Math" w:eastAsia="Times New Roman" w:hAnsi="Cambria Math" w:cs="Times New Roman"/>
          </w:rPr>
          <m:t>MACD</m:t>
        </m:r>
        <m:d>
          <m:dPr>
            <m:ctrlPr>
              <w:rPr>
                <w:rFonts w:ascii="Cambria Math" w:eastAsia="Times New Roman" w:hAnsi="Cambria Math" w:cs="Times New Roman"/>
                <w:i/>
              </w:rPr>
            </m:ctrlPr>
          </m:dPr>
          <m:e>
            <m:r>
              <w:rPr>
                <w:rFonts w:ascii="Cambria Math" w:eastAsia="Times New Roman" w:hAnsi="Cambria Math" w:cs="Times New Roman"/>
              </w:rPr>
              <m:t>12,26,9</m:t>
            </m:r>
          </m:e>
        </m:d>
      </m:oMath>
      <w:r>
        <w:rPr>
          <w:rFonts w:ascii="Times New Roman" w:eastAsia="Times New Roman" w:hAnsi="Times New Roman" w:cs="Times New Roman"/>
        </w:rPr>
        <w:t xml:space="preserve"> indicator, which is the difference between the MACD line and the signal line; and</w:t>
      </w:r>
    </w:p>
    <w:p w14:paraId="701A70D1" w14:textId="77777777" w:rsidR="00894DD4" w:rsidRDefault="00894DD4" w:rsidP="00894DD4">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RSI </w:t>
      </w:r>
      <w:r w:rsidRPr="0020683C">
        <w:rPr>
          <w:rFonts w:ascii="Times New Roman" w:eastAsia="Times New Roman" w:hAnsi="Times New Roman" w:cs="Times New Roman"/>
        </w:rPr>
        <w:t>indicator with a 14-day moving window</w:t>
      </w:r>
      <w:r>
        <w:rPr>
          <w:rFonts w:ascii="Times New Roman" w:eastAsia="Times New Roman" w:hAnsi="Times New Roman" w:cs="Times New Roman"/>
        </w:rPr>
        <w:t>.</w:t>
      </w:r>
    </w:p>
    <w:p w14:paraId="0A09C98D" w14:textId="77777777" w:rsidR="00894DD4" w:rsidRDefault="00894DD4" w:rsidP="001F7D95">
      <w:pPr>
        <w:pStyle w:val="ListParagraph"/>
        <w:rPr>
          <w:rFonts w:ascii="Times New Roman" w:eastAsia="Times New Roman" w:hAnsi="Times New Roman" w:cs="Times New Roman"/>
        </w:rPr>
      </w:pPr>
    </w:p>
    <w:p w14:paraId="76EBD477" w14:textId="23D2F29A" w:rsidR="00894DD4" w:rsidRDefault="00894DD4" w:rsidP="00894DD4">
      <w:pPr>
        <w:pStyle w:val="ListParagraph"/>
        <w:rPr>
          <w:rFonts w:ascii="Times New Roman" w:eastAsia="Times New Roman" w:hAnsi="Times New Roman" w:cs="Times New Roman"/>
        </w:rPr>
      </w:pPr>
      <w:r>
        <w:rPr>
          <w:rFonts w:ascii="Times New Roman" w:eastAsia="Times New Roman" w:hAnsi="Times New Roman" w:cs="Times New Roman"/>
        </w:rPr>
        <w:t>There are 3 types of classification:</w:t>
      </w:r>
    </w:p>
    <w:p w14:paraId="4C20DD34" w14:textId="599899F4" w:rsidR="00894DD4" w:rsidRDefault="00894DD4" w:rsidP="00894DD4">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+1 Buy;</w:t>
      </w:r>
    </w:p>
    <w:p w14:paraId="3CD52FD4" w14:textId="5F0E4B95" w:rsidR="00894DD4" w:rsidRDefault="00894DD4" w:rsidP="00894DD4">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 xml:space="preserve">0 </w:t>
      </w:r>
      <w:r w:rsidR="00D82062">
        <w:rPr>
          <w:rFonts w:ascii="Times New Roman" w:eastAsia="Times New Roman" w:hAnsi="Times New Roman" w:cs="Times New Roman"/>
        </w:rPr>
        <w:t>Hold</w:t>
      </w:r>
      <w:r w:rsidR="004B2C7D">
        <w:rPr>
          <w:rFonts w:ascii="Times New Roman" w:eastAsia="Times New Roman" w:hAnsi="Times New Roman" w:cs="Times New Roman"/>
        </w:rPr>
        <w:t>; and</w:t>
      </w:r>
    </w:p>
    <w:p w14:paraId="087745E9" w14:textId="706184E1" w:rsidR="004B2C7D" w:rsidRPr="004B2C7D" w:rsidRDefault="004B2C7D" w:rsidP="004B2C7D">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-1 Sell</w:t>
      </w:r>
    </w:p>
    <w:p w14:paraId="414D436F" w14:textId="77777777" w:rsidR="00894DD4" w:rsidRPr="004B2C7D" w:rsidRDefault="00894DD4" w:rsidP="004B2C7D">
      <w:pPr>
        <w:rPr>
          <w:rFonts w:eastAsia="Times New Roman"/>
        </w:rPr>
      </w:pPr>
    </w:p>
    <w:p w14:paraId="0DC1EF13" w14:textId="59553FE5" w:rsidR="004B2C7D" w:rsidRPr="004B2C7D" w:rsidRDefault="004B2C7D" w:rsidP="004B2C7D">
      <w:pPr>
        <w:pStyle w:val="ListParagraph"/>
        <w:rPr>
          <w:rFonts w:ascii="Times New Roman" w:eastAsia="Times New Roman" w:hAnsi="Times New Roman" w:cs="Times New Roman"/>
        </w:rPr>
      </w:pPr>
      <w:r>
        <w:rPr>
          <w:rFonts w:ascii="Times New Roman" w:eastAsia="Times New Roman" w:hAnsi="Times New Roman" w:cs="Times New Roman"/>
        </w:rPr>
        <w:t>The classification indictor is based on the 5-day return of the underlying stock. The construction of the classification indicator is formulized as follows:</w:t>
      </w:r>
    </w:p>
    <w:p w14:paraId="70DABA0C" w14:textId="24EA1E31" w:rsidR="004B2C7D" w:rsidRDefault="004B2C7D" w:rsidP="004B2C7D">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Firstly, we calculate the forward-looking 5-day return of the underlying stock.</w:t>
      </w:r>
    </w:p>
    <w:p w14:paraId="401C2940" w14:textId="0F9AB86A" w:rsidR="004B2C7D" w:rsidRDefault="004B2C7D" w:rsidP="004B2C7D">
      <w:pPr>
        <w:pStyle w:val="ListParagraph"/>
        <w:ind w:left="1440"/>
        <w:rPr>
          <w:rFonts w:ascii="Times New Roman" w:eastAsia="Times New Roman" w:hAnsi="Times New Roman" w:cs="Times New Roman"/>
        </w:rPr>
      </w:pPr>
      <m:oMathPara>
        <m:oMath>
          <m:r>
            <w:rPr>
              <w:rFonts w:ascii="Cambria Math" w:eastAsia="Times New Roman" w:hAnsi="Cambria Math" w:cs="Times New Roman"/>
            </w:rPr>
            <m:t>r</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stock</m:t>
              </m:r>
              <m:d>
                <m:dPr>
                  <m:ctrlPr>
                    <w:rPr>
                      <w:rFonts w:ascii="Cambria Math" w:eastAsia="Times New Roman" w:hAnsi="Cambria Math" w:cs="Times New Roman"/>
                      <w:i/>
                    </w:rPr>
                  </m:ctrlPr>
                </m:dPr>
                <m:e>
                  <m:r>
                    <w:rPr>
                      <w:rFonts w:ascii="Cambria Math" w:eastAsia="Times New Roman" w:hAnsi="Cambria Math" w:cs="Times New Roman"/>
                    </w:rPr>
                    <m:t>t+5</m:t>
                  </m:r>
                </m:e>
              </m:d>
            </m:num>
            <m:den>
              <m:r>
                <w:rPr>
                  <w:rFonts w:ascii="Cambria Math" w:eastAsia="Times New Roman" w:hAnsi="Cambria Math" w:cs="Times New Roman"/>
                </w:rPr>
                <m:t>stock(t)</m:t>
              </m:r>
            </m:den>
          </m:f>
          <m:r>
            <w:rPr>
              <w:rFonts w:ascii="Cambria Math" w:eastAsia="Times New Roman" w:hAnsi="Cambria Math" w:cs="Times New Roman"/>
            </w:rPr>
            <m:t>-1</m:t>
          </m:r>
        </m:oMath>
      </m:oMathPara>
    </w:p>
    <w:p w14:paraId="2479DA1E" w14:textId="359718FB" w:rsidR="004B2C7D" w:rsidRDefault="004B2C7D" w:rsidP="004B2C7D">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Then, we adjusted the 5-day return by considering the impact factor.</w:t>
      </w:r>
    </w:p>
    <w:p w14:paraId="0CE382C2" w14:textId="3336B542" w:rsidR="004B2C7D" w:rsidRPr="00DE130A" w:rsidRDefault="00DE130A" w:rsidP="004B2C7D">
      <w:pPr>
        <w:pStyle w:val="ListParagraph"/>
        <w:ind w:left="1440"/>
        <w:rPr>
          <w:rFonts w:ascii="Times New Roman" w:eastAsia="Times New Roman" w:hAnsi="Times New Roman" w:cs="Times New Roman"/>
        </w:rPr>
      </w:pPr>
      <m:oMathPara>
        <m:oMath>
          <m:r>
            <w:rPr>
              <w:rFonts w:ascii="Cambria Math" w:eastAsia="Times New Roman" w:hAnsi="Cambria Math" w:cs="Times New Roman"/>
            </w:rPr>
            <m:t>adjusted_</m:t>
          </m:r>
          <m:r>
            <w:rPr>
              <w:rFonts w:ascii="Cambria Math" w:eastAsia="Times New Roman" w:hAnsi="Cambria Math" w:cs="Times New Roman"/>
            </w:rPr>
            <m:t>r</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m:t>
          </m:r>
          <m:d>
            <m:dPr>
              <m:begChr m:val="{"/>
              <m:endChr m:val=""/>
              <m:ctrlPr>
                <w:rPr>
                  <w:rFonts w:ascii="Cambria Math" w:eastAsia="Times New Roman" w:hAnsi="Cambria Math" w:cs="Times New Roman"/>
                  <w:i/>
                </w:rPr>
              </m:ctrlPr>
            </m:dPr>
            <m:e>
              <m:eqArr>
                <m:eqArrPr>
                  <m:ctrlPr>
                    <w:rPr>
                      <w:rFonts w:ascii="Cambria Math" w:eastAsia="Times New Roman" w:hAnsi="Cambria Math" w:cs="Times New Roman"/>
                      <w:i/>
                    </w:rPr>
                  </m:ctrlPr>
                </m:eqArrPr>
                <m:e>
                  <m:func>
                    <m:funcPr>
                      <m:ctrlPr>
                        <w:rPr>
                          <w:rFonts w:ascii="Cambria Math" w:eastAsia="Times New Roman" w:hAnsi="Cambria Math" w:cs="Times New Roman"/>
                          <w:i/>
                        </w:rPr>
                      </m:ctrlPr>
                    </m:funcPr>
                    <m:fName>
                      <m:r>
                        <m:rPr>
                          <m:sty m:val="p"/>
                        </m:rPr>
                        <w:rPr>
                          <w:rFonts w:ascii="Cambria Math" w:eastAsia="Times New Roman" w:hAnsi="Cambria Math" w:cs="Times New Roman"/>
                        </w:rPr>
                        <m:t>max</m:t>
                      </m:r>
                    </m:fName>
                    <m:e>
                      <m:d>
                        <m:dPr>
                          <m:ctrlPr>
                            <w:rPr>
                              <w:rFonts w:ascii="Cambria Math" w:eastAsia="Times New Roman" w:hAnsi="Cambria Math" w:cs="Times New Roman"/>
                              <w:i/>
                            </w:rPr>
                          </m:ctrlPr>
                        </m:dPr>
                        <m:e>
                          <m:r>
                            <w:rPr>
                              <w:rFonts w:ascii="Cambria Math" w:eastAsia="Times New Roman" w:hAnsi="Cambria Math" w:cs="Times New Roman"/>
                            </w:rPr>
                            <m:t>r</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-2×impct, 0</m:t>
                          </m:r>
                        </m:e>
                      </m:d>
                    </m:e>
                  </m:func>
                  <m:r>
                    <w:rPr>
                      <w:rFonts w:ascii="Cambria Math" w:eastAsia="Times New Roman" w:hAnsi="Cambria Math" w:cs="Times New Roman"/>
                    </w:rPr>
                    <m:t xml:space="preserve"> if r</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&gt;0</m:t>
                  </m:r>
                </m:e>
                <m:e>
                  <m:func>
                    <m:funcPr>
                      <m:ctrlPr>
                        <w:rPr>
                          <w:rFonts w:ascii="Cambria Math" w:eastAsia="Times New Roman" w:hAnsi="Cambria Math" w:cs="Times New Roman"/>
                          <w:i/>
                        </w:rPr>
                      </m:ctrlPr>
                    </m:funcPr>
                    <m:fName>
                      <m:r>
                        <m:rPr>
                          <m:sty m:val="p"/>
                        </m:rPr>
                        <w:rPr>
                          <w:rFonts w:ascii="Cambria Math" w:eastAsia="Times New Roman" w:hAnsi="Cambria Math" w:cs="Times New Roman"/>
                        </w:rPr>
                        <m:t>m</m:t>
                      </m:r>
                      <m:r>
                        <m:rPr>
                          <m:sty m:val="p"/>
                        </m:rPr>
                        <w:rPr>
                          <w:rFonts w:ascii="Cambria Math" w:eastAsia="Times New Roman" w:hAnsi="Cambria Math" w:cs="Times New Roman"/>
                        </w:rPr>
                        <m:t>in</m:t>
                      </m:r>
                    </m:fName>
                    <m:e>
                      <m:d>
                        <m:dPr>
                          <m:ctrlPr>
                            <w:rPr>
                              <w:rFonts w:ascii="Cambria Math" w:eastAsia="Times New Roman" w:hAnsi="Cambria Math" w:cs="Times New Roman"/>
                              <w:i/>
                            </w:rPr>
                          </m:ctrlPr>
                        </m:dPr>
                        <m:e>
                          <m:r>
                            <w:rPr>
                              <w:rFonts w:ascii="Cambria Math" w:eastAsia="Times New Roman" w:hAnsi="Cambria Math" w:cs="Times New Roman"/>
                            </w:rPr>
                            <m:t>r</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m:t>
                          </m:r>
                          <m:r>
                            <w:rPr>
                              <w:rFonts w:ascii="Cambria Math" w:eastAsia="Times New Roman" w:hAnsi="Cambria Math" w:cs="Times New Roman"/>
                            </w:rPr>
                            <m:t>2×impct, 0</m:t>
                          </m:r>
                        </m:e>
                      </m:d>
                    </m:e>
                  </m:func>
                  <m:r>
                    <w:rPr>
                      <w:rFonts w:ascii="Cambria Math" w:eastAsia="Times New Roman" w:hAnsi="Cambria Math" w:cs="Times New Roman"/>
                    </w:rPr>
                    <m:t xml:space="preserve"> if r</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&lt;</m:t>
                  </m:r>
                  <m:r>
                    <w:rPr>
                      <w:rFonts w:ascii="Cambria Math" w:eastAsia="Times New Roman" w:hAnsi="Cambria Math" w:cs="Times New Roman"/>
                    </w:rPr>
                    <m:t>0</m:t>
                  </m:r>
                </m:e>
              </m:eqArr>
            </m:e>
          </m:d>
        </m:oMath>
      </m:oMathPara>
    </w:p>
    <w:p w14:paraId="6CB4D228" w14:textId="7D7302C3" w:rsidR="006C7E69" w:rsidRPr="006C7E69" w:rsidRDefault="00282A71" w:rsidP="006C7E69">
      <w:pPr>
        <w:pStyle w:val="ListParagraph"/>
        <w:ind w:left="1440"/>
        <w:rPr>
          <w:rFonts w:ascii="Times New Roman" w:eastAsia="Times New Roman" w:hAnsi="Times New Roman" w:cs="Times New Roman"/>
        </w:rPr>
      </w:pPr>
      <w:r>
        <w:rPr>
          <w:rFonts w:ascii="Times New Roman" w:eastAsia="Times New Roman" w:hAnsi="Times New Roman" w:cs="Times New Roman"/>
        </w:rPr>
        <w:t xml:space="preserve">The impact plays a role in diluting the </w:t>
      </w:r>
      <w:r w:rsidR="00295C19">
        <w:rPr>
          <w:rFonts w:ascii="Times New Roman" w:eastAsia="Times New Roman" w:hAnsi="Times New Roman" w:cs="Times New Roman"/>
        </w:rPr>
        <w:t>return of trading the underlying stock</w:t>
      </w:r>
      <w:r w:rsidR="00347F60">
        <w:rPr>
          <w:rFonts w:ascii="Times New Roman" w:eastAsia="Times New Roman" w:hAnsi="Times New Roman" w:cs="Times New Roman"/>
        </w:rPr>
        <w:t xml:space="preserve">. </w:t>
      </w:r>
      <w:r w:rsidR="00AF2AE7">
        <w:rPr>
          <w:rFonts w:ascii="Times New Roman" w:eastAsia="Times New Roman" w:hAnsi="Times New Roman" w:cs="Times New Roman"/>
        </w:rPr>
        <w:t>A</w:t>
      </w:r>
      <w:r w:rsidR="00AF2AE7" w:rsidRPr="00AF2AE7">
        <w:rPr>
          <w:rFonts w:ascii="Times New Roman" w:eastAsia="Times New Roman" w:hAnsi="Times New Roman" w:cs="Times New Roman"/>
        </w:rPr>
        <w:t xml:space="preserve"> high impact may discourage </w:t>
      </w:r>
      <w:r w:rsidR="00AF2AE7">
        <w:rPr>
          <w:rFonts w:ascii="Times New Roman" w:eastAsia="Times New Roman" w:hAnsi="Times New Roman" w:cs="Times New Roman"/>
        </w:rPr>
        <w:t>the</w:t>
      </w:r>
      <w:r w:rsidR="00AF2AE7" w:rsidRPr="00AF2AE7">
        <w:rPr>
          <w:rFonts w:ascii="Times New Roman" w:eastAsia="Times New Roman" w:hAnsi="Times New Roman" w:cs="Times New Roman"/>
        </w:rPr>
        <w:t xml:space="preserve"> trading </w:t>
      </w:r>
      <w:r w:rsidR="00AF2AE7">
        <w:rPr>
          <w:rFonts w:ascii="Times New Roman" w:eastAsia="Times New Roman" w:hAnsi="Times New Roman" w:cs="Times New Roman"/>
        </w:rPr>
        <w:t xml:space="preserve">frequency </w:t>
      </w:r>
      <w:r w:rsidR="00AF2AE7" w:rsidRPr="00AF2AE7">
        <w:rPr>
          <w:rFonts w:ascii="Times New Roman" w:eastAsia="Times New Roman" w:hAnsi="Times New Roman" w:cs="Times New Roman"/>
        </w:rPr>
        <w:t>and an increasing</w:t>
      </w:r>
      <w:r w:rsidR="00AF2AE7">
        <w:rPr>
          <w:rFonts w:ascii="Times New Roman" w:eastAsia="Times New Roman" w:hAnsi="Times New Roman" w:cs="Times New Roman"/>
        </w:rPr>
        <w:t>/decreasing</w:t>
      </w:r>
      <w:r w:rsidR="00AF2AE7" w:rsidRPr="00AF2AE7">
        <w:rPr>
          <w:rFonts w:ascii="Times New Roman" w:eastAsia="Times New Roman" w:hAnsi="Times New Roman" w:cs="Times New Roman"/>
        </w:rPr>
        <w:t xml:space="preserve"> stock is not necessarily profitable unless the stock can cover the cost of market impact.</w:t>
      </w:r>
      <w:r w:rsidR="00AF2AE7">
        <w:rPr>
          <w:rFonts w:ascii="Times New Roman" w:eastAsia="Times New Roman" w:hAnsi="Times New Roman" w:cs="Times New Roman"/>
        </w:rPr>
        <w:t xml:space="preserve"> </w:t>
      </w:r>
      <w:r w:rsidR="00347F60">
        <w:rPr>
          <w:rFonts w:ascii="Times New Roman" w:eastAsia="Times New Roman" w:hAnsi="Times New Roman" w:cs="Times New Roman"/>
        </w:rPr>
        <w:t xml:space="preserve">For example, when the 5-day return </w:t>
      </w:r>
      <m:oMath>
        <m:r>
          <w:rPr>
            <w:rFonts w:ascii="Cambria Math" w:eastAsia="Times New Roman" w:hAnsi="Cambria Math" w:cs="Times New Roman"/>
          </w:rPr>
          <m:t>r</m:t>
        </m:r>
        <m:d>
          <m:dPr>
            <m:ctrlPr>
              <w:rPr>
                <w:rFonts w:ascii="Cambria Math" w:eastAsia="Times New Roman" w:hAnsi="Cambria Math" w:cs="Times New Roman"/>
                <w:i/>
              </w:rPr>
            </m:ctrlPr>
          </m:dPr>
          <m:e>
            <m:r>
              <w:rPr>
                <w:rFonts w:ascii="Cambria Math" w:eastAsia="Times New Roman" w:hAnsi="Cambria Math" w:cs="Times New Roman"/>
              </w:rPr>
              <m:t>t</m:t>
            </m:r>
          </m:e>
        </m:d>
      </m:oMath>
      <w:r w:rsidR="00347F60">
        <w:rPr>
          <w:rFonts w:ascii="Times New Roman" w:eastAsia="Times New Roman" w:hAnsi="Times New Roman" w:cs="Times New Roman"/>
        </w:rPr>
        <w:t xml:space="preserve"> is negative, ideally, we can short the underlying stock and hold the position for 5 days, earning exactly the return of </w:t>
      </w:r>
      <w:r w:rsidR="00347F60">
        <w:rPr>
          <w:rFonts w:ascii="Times New Roman" w:eastAsia="Times New Roman" w:hAnsi="Times New Roman" w:cs="Times New Roman"/>
        </w:rPr>
        <w:lastRenderedPageBreak/>
        <w:t>-</w:t>
      </w:r>
      <m:oMath>
        <m:r>
          <w:rPr>
            <w:rFonts w:ascii="Cambria Math" w:eastAsia="Times New Roman" w:hAnsi="Cambria Math" w:cs="Times New Roman"/>
          </w:rPr>
          <m:t xml:space="preserve"> </m:t>
        </m:r>
        <m:r>
          <w:rPr>
            <w:rFonts w:ascii="Cambria Math" w:eastAsia="Times New Roman" w:hAnsi="Cambria Math" w:cs="Times New Roman"/>
          </w:rPr>
          <m:t>r</m:t>
        </m:r>
        <m:d>
          <m:dPr>
            <m:ctrlPr>
              <w:rPr>
                <w:rFonts w:ascii="Cambria Math" w:eastAsia="Times New Roman" w:hAnsi="Cambria Math" w:cs="Times New Roman"/>
                <w:i/>
              </w:rPr>
            </m:ctrlPr>
          </m:dPr>
          <m:e>
            <m:r>
              <w:rPr>
                <w:rFonts w:ascii="Cambria Math" w:eastAsia="Times New Roman" w:hAnsi="Cambria Math" w:cs="Times New Roman"/>
              </w:rPr>
              <m:t>t</m:t>
            </m:r>
          </m:e>
        </m:d>
      </m:oMath>
      <w:r w:rsidR="00347F60">
        <w:rPr>
          <w:rFonts w:ascii="Times New Roman" w:eastAsia="Times New Roman" w:hAnsi="Times New Roman" w:cs="Times New Roman"/>
        </w:rPr>
        <w:t xml:space="preserve">. However, given the presence of the impact factor, realistically, we cannot earn the profit as much as </w:t>
      </w:r>
      <w:r w:rsidR="00347F60">
        <w:rPr>
          <w:rFonts w:ascii="Times New Roman" w:eastAsia="Times New Roman" w:hAnsi="Times New Roman" w:cs="Times New Roman"/>
        </w:rPr>
        <w:t>-</w:t>
      </w:r>
      <m:oMath>
        <m:r>
          <w:rPr>
            <w:rFonts w:ascii="Cambria Math" w:eastAsia="Times New Roman" w:hAnsi="Cambria Math" w:cs="Times New Roman"/>
          </w:rPr>
          <m:t xml:space="preserve"> </m:t>
        </m:r>
        <m:r>
          <w:rPr>
            <w:rFonts w:ascii="Cambria Math" w:eastAsia="Times New Roman" w:hAnsi="Cambria Math" w:cs="Times New Roman"/>
          </w:rPr>
          <m:t>r</m:t>
        </m:r>
        <m:d>
          <m:dPr>
            <m:ctrlPr>
              <w:rPr>
                <w:rFonts w:ascii="Cambria Math" w:eastAsia="Times New Roman" w:hAnsi="Cambria Math" w:cs="Times New Roman"/>
                <w:i/>
              </w:rPr>
            </m:ctrlPr>
          </m:dPr>
          <m:e>
            <m:r>
              <w:rPr>
                <w:rFonts w:ascii="Cambria Math" w:eastAsia="Times New Roman" w:hAnsi="Cambria Math" w:cs="Times New Roman"/>
              </w:rPr>
              <m:t>t</m:t>
            </m:r>
          </m:e>
        </m:d>
      </m:oMath>
      <w:r w:rsidR="00347F60">
        <w:rPr>
          <w:rFonts w:ascii="Times New Roman" w:eastAsia="Times New Roman" w:hAnsi="Times New Roman" w:cs="Times New Roman"/>
        </w:rPr>
        <w:t xml:space="preserve">. Therefore, we adjust the return by </w:t>
      </w:r>
      <w:r w:rsidR="006C7E69">
        <w:rPr>
          <w:rFonts w:ascii="Times New Roman" w:eastAsia="Times New Roman" w:hAnsi="Times New Roman" w:cs="Times New Roman"/>
        </w:rPr>
        <w:t>2 times impact, as it requires two transactions to complete</w:t>
      </w:r>
      <w:r w:rsidR="00347F60">
        <w:rPr>
          <w:rFonts w:ascii="Times New Roman" w:eastAsia="Times New Roman" w:hAnsi="Times New Roman" w:cs="Times New Roman"/>
        </w:rPr>
        <w:t xml:space="preserve"> </w:t>
      </w:r>
      <w:r w:rsidR="006C7E69">
        <w:rPr>
          <w:rFonts w:ascii="Times New Roman" w:eastAsia="Times New Roman" w:hAnsi="Times New Roman" w:cs="Times New Roman"/>
        </w:rPr>
        <w:t>one trading strategy.</w:t>
      </w:r>
    </w:p>
    <w:p w14:paraId="1C4A71B2" w14:textId="77777777" w:rsidR="00A91AD9" w:rsidRDefault="00A91AD9" w:rsidP="004B2C7D">
      <w:pPr>
        <w:pStyle w:val="ListParagraph"/>
        <w:ind w:left="1440"/>
        <w:rPr>
          <w:rFonts w:ascii="Times New Roman" w:eastAsia="Times New Roman" w:hAnsi="Times New Roman" w:cs="Times New Roman"/>
        </w:rPr>
      </w:pPr>
    </w:p>
    <w:p w14:paraId="5429DEC8" w14:textId="79B812B5" w:rsidR="00F97512" w:rsidRDefault="00F97512" w:rsidP="00F97512">
      <w:pPr>
        <w:pStyle w:val="ListParagraph"/>
        <w:numPr>
          <w:ilvl w:val="0"/>
          <w:numId w:val="8"/>
        </w:numPr>
        <w:rPr>
          <w:rFonts w:ascii="Times New Roman" w:eastAsia="Times New Roman" w:hAnsi="Times New Roman" w:cs="Times New Roman"/>
        </w:rPr>
      </w:pPr>
      <w:r w:rsidRPr="00F97512">
        <w:rPr>
          <w:rFonts w:ascii="Times New Roman" w:eastAsia="Times New Roman" w:hAnsi="Times New Roman" w:cs="Times New Roman"/>
        </w:rPr>
        <w:t xml:space="preserve">Subsequently, we </w:t>
      </w:r>
      <w:r w:rsidRPr="00F97512">
        <w:rPr>
          <w:rFonts w:ascii="Times New Roman" w:eastAsia="Times New Roman" w:hAnsi="Times New Roman" w:cs="Times New Roman"/>
        </w:rPr>
        <w:t>compare</w:t>
      </w:r>
      <w:r w:rsidRPr="00F97512">
        <w:rPr>
          <w:rFonts w:ascii="Times New Roman" w:eastAsia="Times New Roman" w:hAnsi="Times New Roman" w:cs="Times New Roman"/>
        </w:rPr>
        <w:t xml:space="preserve"> the adjusted return to the predetermined threshold. </w:t>
      </w:r>
      <w:r>
        <w:rPr>
          <w:rFonts w:ascii="Times New Roman" w:eastAsia="Times New Roman" w:hAnsi="Times New Roman" w:cs="Times New Roman"/>
        </w:rPr>
        <w:t xml:space="preserve">If the 5-day adjusted return </w:t>
      </w:r>
      <w:r w:rsidRPr="00F97512">
        <w:rPr>
          <w:rFonts w:ascii="Times New Roman" w:eastAsia="Times New Roman" w:hAnsi="Times New Roman" w:cs="Times New Roman"/>
        </w:rPr>
        <w:t xml:space="preserve">exceeds a certain </w:t>
      </w:r>
      <w:r w:rsidRPr="00F97512">
        <w:rPr>
          <w:rFonts w:ascii="Times New Roman" w:eastAsia="Times New Roman" w:hAnsi="Times New Roman" w:cs="Times New Roman"/>
        </w:rPr>
        <w:t>value</w:t>
      </w:r>
      <w:r>
        <w:rPr>
          <w:rFonts w:ascii="Times New Roman" w:eastAsia="Times New Roman" w:hAnsi="Times New Roman" w:cs="Times New Roman"/>
        </w:rPr>
        <w:t xml:space="preserve">, we classify the sample as +1 </w:t>
      </w:r>
      <w:r w:rsidR="004E0CEA">
        <w:rPr>
          <w:rFonts w:ascii="Times New Roman" w:eastAsia="Times New Roman" w:hAnsi="Times New Roman" w:cs="Times New Roman"/>
        </w:rPr>
        <w:t>“</w:t>
      </w:r>
      <w:r>
        <w:rPr>
          <w:rFonts w:ascii="Times New Roman" w:eastAsia="Times New Roman" w:hAnsi="Times New Roman" w:cs="Times New Roman"/>
        </w:rPr>
        <w:t>Buy</w:t>
      </w:r>
      <w:r w:rsidR="004E0CEA">
        <w:rPr>
          <w:rFonts w:ascii="Times New Roman" w:eastAsia="Times New Roman" w:hAnsi="Times New Roman" w:cs="Times New Roman"/>
        </w:rPr>
        <w:t>”</w:t>
      </w:r>
      <w:r>
        <w:rPr>
          <w:rFonts w:ascii="Times New Roman" w:eastAsia="Times New Roman" w:hAnsi="Times New Roman" w:cs="Times New Roman"/>
        </w:rPr>
        <w:t xml:space="preserve">. Conversely, if </w:t>
      </w:r>
      <w:r>
        <w:rPr>
          <w:rFonts w:ascii="Times New Roman" w:eastAsia="Times New Roman" w:hAnsi="Times New Roman" w:cs="Times New Roman"/>
        </w:rPr>
        <w:t xml:space="preserve">the 5-day adjusted return </w:t>
      </w:r>
      <w:r>
        <w:rPr>
          <w:rFonts w:ascii="Times New Roman" w:eastAsia="Times New Roman" w:hAnsi="Times New Roman" w:cs="Times New Roman"/>
        </w:rPr>
        <w:t>falls below</w:t>
      </w:r>
      <w:r w:rsidRPr="00F97512">
        <w:rPr>
          <w:rFonts w:ascii="Times New Roman" w:eastAsia="Times New Roman" w:hAnsi="Times New Roman" w:cs="Times New Roman"/>
        </w:rPr>
        <w:t xml:space="preserve"> a certain value</w:t>
      </w:r>
      <w:r>
        <w:rPr>
          <w:rFonts w:ascii="Times New Roman" w:eastAsia="Times New Roman" w:hAnsi="Times New Roman" w:cs="Times New Roman"/>
        </w:rPr>
        <w:t xml:space="preserve">, we classify the sample as </w:t>
      </w:r>
      <w:r>
        <w:rPr>
          <w:rFonts w:ascii="Times New Roman" w:eastAsia="Times New Roman" w:hAnsi="Times New Roman" w:cs="Times New Roman"/>
        </w:rPr>
        <w:t>-</w:t>
      </w:r>
      <w:r>
        <w:rPr>
          <w:rFonts w:ascii="Times New Roman" w:eastAsia="Times New Roman" w:hAnsi="Times New Roman" w:cs="Times New Roman"/>
        </w:rPr>
        <w:t>1</w:t>
      </w:r>
      <w:r>
        <w:rPr>
          <w:rFonts w:ascii="Times New Roman" w:eastAsia="Times New Roman" w:hAnsi="Times New Roman" w:cs="Times New Roman"/>
        </w:rPr>
        <w:t xml:space="preserve"> </w:t>
      </w:r>
      <w:r w:rsidR="004E0CEA">
        <w:rPr>
          <w:rFonts w:ascii="Times New Roman" w:eastAsia="Times New Roman" w:hAnsi="Times New Roman" w:cs="Times New Roman"/>
        </w:rPr>
        <w:t>“</w:t>
      </w:r>
      <w:r>
        <w:rPr>
          <w:rFonts w:ascii="Times New Roman" w:eastAsia="Times New Roman" w:hAnsi="Times New Roman" w:cs="Times New Roman"/>
        </w:rPr>
        <w:t>Sell</w:t>
      </w:r>
      <w:r w:rsidR="004E0CEA">
        <w:rPr>
          <w:rFonts w:ascii="Times New Roman" w:eastAsia="Times New Roman" w:hAnsi="Times New Roman" w:cs="Times New Roman"/>
        </w:rPr>
        <w:t>”</w:t>
      </w:r>
      <w:r>
        <w:rPr>
          <w:rFonts w:ascii="Times New Roman" w:eastAsia="Times New Roman" w:hAnsi="Times New Roman" w:cs="Times New Roman"/>
        </w:rPr>
        <w:t>. And we classify the rest as</w:t>
      </w:r>
      <w:r w:rsidR="004E0CEA">
        <w:rPr>
          <w:rFonts w:ascii="Times New Roman" w:eastAsia="Times New Roman" w:hAnsi="Times New Roman" w:cs="Times New Roman"/>
        </w:rPr>
        <w:t xml:space="preserve"> 0 “</w:t>
      </w:r>
      <w:r w:rsidR="00D82062">
        <w:rPr>
          <w:rFonts w:ascii="Times New Roman" w:eastAsia="Times New Roman" w:hAnsi="Times New Roman" w:cs="Times New Roman"/>
        </w:rPr>
        <w:t>Hold</w:t>
      </w:r>
      <w:r w:rsidR="004E0CEA">
        <w:rPr>
          <w:rFonts w:ascii="Times New Roman" w:eastAsia="Times New Roman" w:hAnsi="Times New Roman" w:cs="Times New Roman"/>
        </w:rPr>
        <w:t>”</w:t>
      </w:r>
      <w:r w:rsidR="00D55F4C">
        <w:rPr>
          <w:rFonts w:ascii="Times New Roman" w:eastAsia="Times New Roman" w:hAnsi="Times New Roman" w:cs="Times New Roman"/>
        </w:rPr>
        <w:t xml:space="preserve">. In the strategy learner, the threshold is set as </w:t>
      </w:r>
      <m:oMath>
        <m:r>
          <w:rPr>
            <w:rFonts w:ascii="Cambria Math" w:eastAsia="Times New Roman" w:hAnsi="Cambria Math" w:cs="Times New Roman"/>
          </w:rPr>
          <m:t>±</m:t>
        </m:r>
      </m:oMath>
      <w:r w:rsidR="00D55F4C">
        <w:rPr>
          <w:rFonts w:ascii="Times New Roman" w:eastAsia="Times New Roman" w:hAnsi="Times New Roman" w:cs="Times New Roman"/>
        </w:rPr>
        <w:t xml:space="preserve"> 1%</w:t>
      </w:r>
    </w:p>
    <w:p w14:paraId="12204829" w14:textId="77777777" w:rsidR="004B2C7D" w:rsidRPr="00D55F4C" w:rsidRDefault="004B2C7D" w:rsidP="00D55F4C">
      <w:pPr>
        <w:rPr>
          <w:rFonts w:eastAsia="Times New Roman"/>
        </w:rPr>
      </w:pPr>
    </w:p>
    <w:p w14:paraId="0321AA2D" w14:textId="0D1C1AA8" w:rsidR="001F7D95" w:rsidRDefault="00F57C2D" w:rsidP="00894DD4">
      <w:pPr>
        <w:pStyle w:val="ListParagraph"/>
        <w:rPr>
          <w:rFonts w:ascii="Times New Roman" w:eastAsia="Times New Roman" w:hAnsi="Times New Roman" w:cs="Times New Roman"/>
        </w:rPr>
      </w:pPr>
      <w:r w:rsidRPr="00894DD4">
        <w:rPr>
          <w:rFonts w:ascii="Times New Roman" w:eastAsia="Times New Roman" w:hAnsi="Times New Roman" w:cs="Times New Roman"/>
        </w:rPr>
        <w:t>Note the stock we use is the JPM stock between January 1, 2008 to December 31, 2009.</w:t>
      </w:r>
      <w:r w:rsidR="00D55F4C">
        <w:rPr>
          <w:rFonts w:ascii="Times New Roman" w:eastAsia="Times New Roman" w:hAnsi="Times New Roman" w:cs="Times New Roman"/>
        </w:rPr>
        <w:t xml:space="preserve"> </w:t>
      </w:r>
    </w:p>
    <w:p w14:paraId="367A96A2" w14:textId="77777777" w:rsidR="00D55F4C" w:rsidRDefault="00D55F4C" w:rsidP="00894DD4">
      <w:pPr>
        <w:pStyle w:val="ListParagraph"/>
        <w:rPr>
          <w:rFonts w:ascii="Times New Roman" w:eastAsia="Times New Roman" w:hAnsi="Times New Roman" w:cs="Times New Roman"/>
        </w:rPr>
      </w:pPr>
    </w:p>
    <w:p w14:paraId="49A0415A" w14:textId="25B2AB75" w:rsidR="00D55F4C" w:rsidRDefault="00AF2AE7" w:rsidP="00F34FF2">
      <w:pPr>
        <w:pStyle w:val="ListParagraph"/>
        <w:rPr>
          <w:rFonts w:ascii="Times New Roman" w:eastAsia="Times New Roman" w:hAnsi="Times New Roman" w:cs="Times New Roman" w:hint="eastAsia"/>
        </w:rPr>
      </w:pPr>
      <w:r>
        <w:rPr>
          <w:rFonts w:ascii="Times New Roman" w:eastAsia="Times New Roman" w:hAnsi="Times New Roman" w:cs="Times New Roman"/>
        </w:rPr>
        <w:t>The outcome, which is the holding po</w:t>
      </w:r>
      <w:r w:rsidR="00A63240">
        <w:rPr>
          <w:rFonts w:ascii="Times New Roman" w:eastAsia="Times New Roman" w:hAnsi="Times New Roman" w:cs="Times New Roman"/>
        </w:rPr>
        <w:t xml:space="preserve">sition is derived by the random forest </w:t>
      </w:r>
      <w:r w:rsidR="00F81212">
        <w:rPr>
          <w:rFonts w:ascii="Times New Roman" w:eastAsia="Times New Roman" w:hAnsi="Times New Roman" w:cs="Times New Roman"/>
        </w:rPr>
        <w:t xml:space="preserve">trading robot. As the random forest algorithm takes the average </w:t>
      </w:r>
      <w:r w:rsidR="005576F0">
        <w:rPr>
          <w:rFonts w:ascii="Times New Roman" w:eastAsia="Times New Roman" w:hAnsi="Times New Roman" w:cs="Times New Roman"/>
        </w:rPr>
        <w:t xml:space="preserve">of the outputs of random tress. The output </w:t>
      </w:r>
      <w:r w:rsidR="003B7CA6">
        <w:rPr>
          <w:rFonts w:ascii="Times New Roman" w:eastAsia="Times New Roman" w:hAnsi="Times New Roman" w:cs="Times New Roman"/>
        </w:rPr>
        <w:t xml:space="preserve">of the random forest classifier ranges between -1 to 1. Therefore, we come up with a threshold to transfer the continuous output into the classification. If the output is above 0.2, we classify it as +1 “Buy” and </w:t>
      </w:r>
      <w:r w:rsidR="003B7CA6" w:rsidRPr="003B7CA6">
        <w:rPr>
          <w:rFonts w:ascii="Times New Roman" w:eastAsia="Times New Roman" w:hAnsi="Times New Roman" w:cs="Times New Roman"/>
        </w:rPr>
        <w:t>we hold +1000 position of the underlying stock</w:t>
      </w:r>
      <w:r w:rsidR="003B7CA6">
        <w:rPr>
          <w:rFonts w:ascii="Times New Roman" w:eastAsia="Times New Roman" w:hAnsi="Times New Roman" w:cs="Times New Roman"/>
        </w:rPr>
        <w:t xml:space="preserve">; if the output is below -0.2, </w:t>
      </w:r>
      <w:r w:rsidR="003B7CA6">
        <w:rPr>
          <w:rFonts w:ascii="Times New Roman" w:eastAsia="Times New Roman" w:hAnsi="Times New Roman" w:cs="Times New Roman"/>
        </w:rPr>
        <w:t xml:space="preserve">we classify it as </w:t>
      </w:r>
      <w:r w:rsidR="003B7CA6">
        <w:rPr>
          <w:rFonts w:ascii="Times New Roman" w:eastAsia="Times New Roman" w:hAnsi="Times New Roman" w:cs="Times New Roman"/>
        </w:rPr>
        <w:t>-</w:t>
      </w:r>
      <w:r w:rsidR="003B7CA6">
        <w:rPr>
          <w:rFonts w:ascii="Times New Roman" w:eastAsia="Times New Roman" w:hAnsi="Times New Roman" w:cs="Times New Roman"/>
        </w:rPr>
        <w:t>1 “</w:t>
      </w:r>
      <w:r w:rsidR="003B7CA6">
        <w:rPr>
          <w:rFonts w:ascii="Times New Roman" w:eastAsia="Times New Roman" w:hAnsi="Times New Roman" w:cs="Times New Roman"/>
        </w:rPr>
        <w:t>Sell</w:t>
      </w:r>
      <w:r w:rsidR="003B7CA6">
        <w:rPr>
          <w:rFonts w:ascii="Times New Roman" w:eastAsia="Times New Roman" w:hAnsi="Times New Roman" w:cs="Times New Roman"/>
        </w:rPr>
        <w:t>”</w:t>
      </w:r>
      <w:r w:rsidR="003B7CA6">
        <w:rPr>
          <w:rFonts w:ascii="Times New Roman" w:eastAsia="Times New Roman" w:hAnsi="Times New Roman" w:cs="Times New Roman"/>
        </w:rPr>
        <w:t xml:space="preserve">, </w:t>
      </w:r>
      <w:r w:rsidR="003B7CA6" w:rsidRPr="003B7CA6">
        <w:rPr>
          <w:rFonts w:ascii="Times New Roman" w:eastAsia="Times New Roman" w:hAnsi="Times New Roman" w:cs="Times New Roman"/>
        </w:rPr>
        <w:t>we hold -1000 position of the underlying stock</w:t>
      </w:r>
      <w:r w:rsidR="003B7CA6">
        <w:rPr>
          <w:rFonts w:ascii="Times New Roman" w:eastAsia="Times New Roman" w:hAnsi="Times New Roman" w:cs="Times New Roman"/>
        </w:rPr>
        <w:t>; otherwise, it is classified as 0 “</w:t>
      </w:r>
      <w:r w:rsidR="00D82062">
        <w:rPr>
          <w:rFonts w:ascii="Times New Roman" w:eastAsia="Times New Roman" w:hAnsi="Times New Roman" w:cs="Times New Roman"/>
        </w:rPr>
        <w:t>Hold</w:t>
      </w:r>
      <w:r w:rsidR="003B7CA6">
        <w:rPr>
          <w:rFonts w:ascii="Times New Roman" w:eastAsia="Times New Roman" w:hAnsi="Times New Roman" w:cs="Times New Roman"/>
        </w:rPr>
        <w:t xml:space="preserve">”, and we </w:t>
      </w:r>
      <w:r w:rsidR="00D82062">
        <w:rPr>
          <w:rFonts w:ascii="Times New Roman" w:eastAsia="Times New Roman" w:hAnsi="Times New Roman" w:cs="Times New Roman"/>
        </w:rPr>
        <w:t>hold the same position as the previous day</w:t>
      </w:r>
      <w:r w:rsidR="003B7CA6">
        <w:rPr>
          <w:rFonts w:ascii="Times New Roman" w:eastAsia="Times New Roman" w:hAnsi="Times New Roman" w:cs="Times New Roman"/>
        </w:rPr>
        <w:t>.</w:t>
      </w:r>
      <w:r w:rsidR="00F34FF2">
        <w:rPr>
          <w:rFonts w:ascii="Times New Roman" w:eastAsia="Times New Roman" w:hAnsi="Times New Roman" w:cs="Times New Roman"/>
        </w:rPr>
        <w:t xml:space="preserve"> </w:t>
      </w:r>
    </w:p>
    <w:p w14:paraId="0BCFFB4D" w14:textId="77777777" w:rsidR="0024735A" w:rsidRPr="00F65CF8" w:rsidRDefault="0024735A" w:rsidP="00F65CF8">
      <w:pPr>
        <w:rPr>
          <w:rFonts w:eastAsia="Times New Roman" w:hint="eastAsia"/>
          <w:b/>
        </w:rPr>
      </w:pPr>
    </w:p>
    <w:p w14:paraId="6FC34A89" w14:textId="77777777" w:rsidR="0024735A" w:rsidRDefault="0024735A" w:rsidP="000C05B7">
      <w:pPr>
        <w:pStyle w:val="ListParagraph"/>
        <w:rPr>
          <w:rFonts w:ascii="Times New Roman" w:eastAsia="Times New Roman" w:hAnsi="Times New Roman" w:cs="Times New Roman"/>
        </w:rPr>
      </w:pPr>
    </w:p>
    <w:p w14:paraId="02D0D46F" w14:textId="55C0FD23" w:rsidR="00F65CF8" w:rsidRDefault="00F65CF8" w:rsidP="00F65CF8">
      <w:pPr>
        <w:pStyle w:val="ListParagraph"/>
        <w:numPr>
          <w:ilvl w:val="0"/>
          <w:numId w:val="1"/>
        </w:numPr>
        <w:rPr>
          <w:rFonts w:ascii="Times New Roman" w:eastAsia="Times New Roman" w:hAnsi="Times New Roman" w:cs="Times New Roman" w:hint="eastAsia"/>
          <w:b/>
        </w:rPr>
      </w:pPr>
      <w:r>
        <w:rPr>
          <w:rFonts w:ascii="Times New Roman" w:eastAsia="Times New Roman" w:hAnsi="Times New Roman" w:cs="Times New Roman"/>
          <w:b/>
        </w:rPr>
        <w:t>Experiment 1</w:t>
      </w:r>
    </w:p>
    <w:p w14:paraId="5C1A3419" w14:textId="77777777" w:rsidR="00F65CF8" w:rsidRDefault="00F65CF8" w:rsidP="00F65CF8">
      <w:pPr>
        <w:pStyle w:val="ListParagraph"/>
        <w:rPr>
          <w:rFonts w:ascii="Times New Roman" w:eastAsia="Times New Roman" w:hAnsi="Times New Roman" w:cs="Times New Roman" w:hint="eastAsia"/>
          <w:b/>
        </w:rPr>
      </w:pPr>
    </w:p>
    <w:p w14:paraId="4A5452DA" w14:textId="4637379F" w:rsidR="00F65CF8" w:rsidRDefault="00F65CF8" w:rsidP="00F65CF8">
      <w:pPr>
        <w:pStyle w:val="ListParagraph"/>
        <w:rPr>
          <w:rFonts w:ascii="Times New Roman" w:eastAsia="Times New Roman" w:hAnsi="Times New Roman" w:cs="Times New Roman"/>
        </w:rPr>
      </w:pPr>
      <w:r w:rsidRPr="00F65CF8">
        <w:rPr>
          <w:rFonts w:ascii="Times New Roman" w:eastAsia="Times New Roman" w:hAnsi="Times New Roman" w:cs="Times New Roman"/>
        </w:rPr>
        <w:t>In the first experiment,</w:t>
      </w:r>
      <w:r>
        <w:rPr>
          <w:rFonts w:ascii="Times New Roman" w:eastAsia="Times New Roman" w:hAnsi="Times New Roman" w:cs="Times New Roman"/>
        </w:rPr>
        <w:t xml:space="preserve"> we test our</w:t>
      </w:r>
      <w:r w:rsidRPr="00F65CF8">
        <w:rPr>
          <w:rFonts w:ascii="Times New Roman" w:eastAsia="Times New Roman" w:hAnsi="Times New Roman" w:cs="Times New Roman"/>
        </w:rPr>
        <w:t xml:space="preserve"> strategy learner </w:t>
      </w:r>
      <w:r>
        <w:rPr>
          <w:rFonts w:ascii="Times New Roman" w:eastAsia="Times New Roman" w:hAnsi="Times New Roman" w:cs="Times New Roman"/>
        </w:rPr>
        <w:t>against the Manuel strategy and the benchmark.</w:t>
      </w:r>
    </w:p>
    <w:p w14:paraId="024EABDE" w14:textId="1F240A8A" w:rsidR="00E87DED" w:rsidRDefault="00E87DED" w:rsidP="0049009C">
      <w:pPr>
        <w:pStyle w:val="ListParagraph"/>
        <w:numPr>
          <w:ilvl w:val="0"/>
          <w:numId w:val="8"/>
        </w:numPr>
        <w:spacing w:after="160" w:line="259" w:lineRule="auto"/>
        <w:rPr>
          <w:rFonts w:ascii="Times New Roman" w:eastAsia="Times New Roman" w:hAnsi="Times New Roman" w:cs="Times New Roman"/>
        </w:rPr>
      </w:pPr>
      <w:r>
        <w:rPr>
          <w:rFonts w:ascii="Times New Roman" w:eastAsia="Times New Roman" w:hAnsi="Times New Roman" w:cs="Times New Roman"/>
        </w:rPr>
        <w:t>Strategy Learner: as described in the section 1</w:t>
      </w:r>
    </w:p>
    <w:p w14:paraId="3855431A" w14:textId="3286523E" w:rsidR="0049009C" w:rsidRPr="00F65CF8" w:rsidRDefault="0049009C" w:rsidP="0049009C">
      <w:pPr>
        <w:pStyle w:val="ListParagraph"/>
        <w:numPr>
          <w:ilvl w:val="0"/>
          <w:numId w:val="8"/>
        </w:numPr>
        <w:spacing w:after="160" w:line="259" w:lineRule="auto"/>
        <w:rPr>
          <w:rFonts w:ascii="Times New Roman" w:eastAsia="Times New Roman" w:hAnsi="Times New Roman" w:cs="Times New Roman"/>
        </w:rPr>
      </w:pPr>
      <w:r w:rsidRPr="00F65CF8">
        <w:rPr>
          <w:rFonts w:ascii="Times New Roman" w:eastAsia="Times New Roman" w:hAnsi="Times New Roman" w:cs="Times New Roman"/>
        </w:rPr>
        <w:t>Manual Strategy: this strategy determine</w:t>
      </w:r>
      <w:r>
        <w:rPr>
          <w:rFonts w:ascii="Times New Roman" w:eastAsia="Times New Roman" w:hAnsi="Times New Roman" w:cs="Times New Roman"/>
        </w:rPr>
        <w:t>s the</w:t>
      </w:r>
      <w:r w:rsidRPr="00F65CF8">
        <w:rPr>
          <w:rFonts w:ascii="Times New Roman" w:eastAsia="Times New Roman" w:hAnsi="Times New Roman" w:cs="Times New Roman"/>
        </w:rPr>
        <w:t xml:space="preserve"> positions by </w:t>
      </w:r>
      <w:r>
        <w:rPr>
          <w:rFonts w:ascii="Times New Roman" w:eastAsia="Times New Roman" w:hAnsi="Times New Roman" w:cs="Times New Roman"/>
        </w:rPr>
        <w:t xml:space="preserve">examine all technical indicators. </w:t>
      </w:r>
      <w:r w:rsidRPr="00F65CF8">
        <w:rPr>
          <w:rFonts w:ascii="Times New Roman" w:eastAsia="Times New Roman" w:hAnsi="Times New Roman" w:cs="Times New Roman"/>
        </w:rPr>
        <w:t xml:space="preserve">For example, if </w:t>
      </w:r>
      <w:r>
        <w:rPr>
          <w:rFonts w:ascii="Times New Roman" w:eastAsia="Times New Roman" w:hAnsi="Times New Roman" w:cs="Times New Roman"/>
        </w:rPr>
        <w:t>the majority</w:t>
      </w:r>
      <w:r w:rsidRPr="00F65CF8">
        <w:rPr>
          <w:rFonts w:ascii="Times New Roman" w:eastAsia="Times New Roman" w:hAnsi="Times New Roman" w:cs="Times New Roman"/>
        </w:rPr>
        <w:t xml:space="preserve"> indicators refer to a LONG position, </w:t>
      </w:r>
      <w:r>
        <w:rPr>
          <w:rFonts w:ascii="Times New Roman" w:eastAsia="Times New Roman" w:hAnsi="Times New Roman" w:cs="Times New Roman"/>
        </w:rPr>
        <w:t>we will go for long and vice versa.</w:t>
      </w:r>
    </w:p>
    <w:p w14:paraId="4EB3C43F" w14:textId="77777777" w:rsidR="00E87DED" w:rsidRDefault="00E87DED" w:rsidP="00F65CF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B</w:t>
      </w:r>
      <w:r>
        <w:rPr>
          <w:rFonts w:ascii="Times New Roman" w:eastAsia="Times New Roman" w:hAnsi="Times New Roman" w:cs="Times New Roman"/>
        </w:rPr>
        <w:t>enchmark</w:t>
      </w:r>
      <w:r>
        <w:rPr>
          <w:rFonts w:ascii="Times New Roman" w:eastAsia="Times New Roman" w:hAnsi="Times New Roman" w:cs="Times New Roman"/>
        </w:rPr>
        <w:t>:</w:t>
      </w:r>
      <w:r>
        <w:rPr>
          <w:rFonts w:ascii="Times New Roman" w:eastAsia="Times New Roman" w:hAnsi="Times New Roman" w:cs="Times New Roman"/>
        </w:rPr>
        <w:t xml:space="preserve"> buy and hold +1000 position from day 1</w:t>
      </w:r>
    </w:p>
    <w:p w14:paraId="1C94C2C6" w14:textId="77777777" w:rsidR="00E87DED" w:rsidRDefault="00E87DED" w:rsidP="00E87DED">
      <w:pPr>
        <w:rPr>
          <w:rFonts w:eastAsia="Times New Roman"/>
        </w:rPr>
      </w:pPr>
    </w:p>
    <w:p w14:paraId="50BCD126" w14:textId="77777777" w:rsidR="00896F1C" w:rsidRDefault="00E87DED" w:rsidP="00896F1C">
      <w:pPr>
        <w:pStyle w:val="ListParagraph"/>
        <w:rPr>
          <w:rFonts w:eastAsia="Times New Roman"/>
        </w:rPr>
      </w:pPr>
      <w:r w:rsidRPr="00F65CF8">
        <w:rPr>
          <w:rFonts w:ascii="Times New Roman" w:eastAsia="Times New Roman" w:hAnsi="Times New Roman" w:cs="Times New Roman"/>
        </w:rPr>
        <w:t>In th</w:t>
      </w:r>
      <w:r>
        <w:rPr>
          <w:rFonts w:ascii="Times New Roman" w:eastAsia="Times New Roman" w:hAnsi="Times New Roman" w:cs="Times New Roman"/>
        </w:rPr>
        <w:t>is</w:t>
      </w:r>
      <w:r w:rsidRPr="00F65CF8">
        <w:rPr>
          <w:rFonts w:ascii="Times New Roman" w:eastAsia="Times New Roman" w:hAnsi="Times New Roman" w:cs="Times New Roman"/>
        </w:rPr>
        <w:t xml:space="preserve"> experiment</w:t>
      </w:r>
      <w:r w:rsidR="00F65CF8" w:rsidRPr="00E87DED">
        <w:rPr>
          <w:rFonts w:ascii="Times New Roman" w:eastAsia="Times New Roman" w:hAnsi="Times New Roman" w:cs="Times New Roman"/>
        </w:rPr>
        <w:t xml:space="preserve">, </w:t>
      </w:r>
      <w:r>
        <w:rPr>
          <w:rFonts w:ascii="Times New Roman" w:eastAsia="Times New Roman" w:hAnsi="Times New Roman" w:cs="Times New Roman"/>
        </w:rPr>
        <w:t xml:space="preserve">all the trading strategy is based on </w:t>
      </w:r>
      <w:r>
        <w:rPr>
          <w:rFonts w:ascii="Times New Roman" w:eastAsia="Times New Roman" w:hAnsi="Times New Roman" w:cs="Times New Roman"/>
        </w:rPr>
        <w:t xml:space="preserve">the JPM stock between the in-sample period, which is between January 1, 2008 to December 31, 2009. </w:t>
      </w:r>
      <w:r>
        <w:rPr>
          <w:rFonts w:ascii="Times New Roman" w:eastAsia="Times New Roman" w:hAnsi="Times New Roman" w:cs="Times New Roman"/>
        </w:rPr>
        <w:t>Besides, we</w:t>
      </w:r>
      <w:r w:rsidR="00F65CF8" w:rsidRPr="00E87DED">
        <w:rPr>
          <w:rFonts w:ascii="Times New Roman" w:eastAsia="Times New Roman" w:hAnsi="Times New Roman" w:cs="Times New Roman"/>
        </w:rPr>
        <w:t xml:space="preserve"> </w:t>
      </w:r>
      <w:r>
        <w:rPr>
          <w:rFonts w:ascii="Times New Roman" w:eastAsia="Times New Roman" w:hAnsi="Times New Roman" w:cs="Times New Roman"/>
        </w:rPr>
        <w:t>didn’t incorporate any</w:t>
      </w:r>
      <w:r w:rsidR="00F65CF8" w:rsidRPr="00E87DED">
        <w:rPr>
          <w:rFonts w:ascii="Times New Roman" w:eastAsia="Times New Roman" w:hAnsi="Times New Roman" w:cs="Times New Roman"/>
        </w:rPr>
        <w:t xml:space="preserve"> impacts and commissions</w:t>
      </w:r>
      <w:r>
        <w:rPr>
          <w:rFonts w:ascii="Times New Roman" w:eastAsia="Times New Roman" w:hAnsi="Times New Roman" w:cs="Times New Roman"/>
        </w:rPr>
        <w:t xml:space="preserve"> fee</w:t>
      </w:r>
      <w:r w:rsidR="00F65CF8" w:rsidRPr="00E87DED">
        <w:rPr>
          <w:rFonts w:ascii="Times New Roman" w:eastAsia="Times New Roman" w:hAnsi="Times New Roman" w:cs="Times New Roman"/>
        </w:rPr>
        <w:t xml:space="preserve">. Also, </w:t>
      </w:r>
      <w:r w:rsidR="00896F1C">
        <w:rPr>
          <w:rFonts w:ascii="Times New Roman" w:eastAsia="Times New Roman" w:hAnsi="Times New Roman" w:cs="Times New Roman"/>
        </w:rPr>
        <w:t>we</w:t>
      </w:r>
      <w:r w:rsidR="00F65CF8" w:rsidRPr="00E87DED">
        <w:rPr>
          <w:rFonts w:ascii="Times New Roman" w:eastAsia="Times New Roman" w:hAnsi="Times New Roman" w:cs="Times New Roman"/>
        </w:rPr>
        <w:t xml:space="preserve"> assume only three positions in this experiment, which are long</w:t>
      </w:r>
      <w:r w:rsidR="00896F1C">
        <w:rPr>
          <w:rFonts w:ascii="Times New Roman" w:eastAsia="Times New Roman" w:hAnsi="Times New Roman" w:cs="Times New Roman"/>
        </w:rPr>
        <w:t xml:space="preserve"> +1000 stock</w:t>
      </w:r>
      <w:r w:rsidR="00F65CF8" w:rsidRPr="00E87DED">
        <w:rPr>
          <w:rFonts w:ascii="Times New Roman" w:eastAsia="Times New Roman" w:hAnsi="Times New Roman" w:cs="Times New Roman"/>
        </w:rPr>
        <w:t>, cash and short</w:t>
      </w:r>
      <w:r w:rsidR="00896F1C">
        <w:rPr>
          <w:rFonts w:ascii="Times New Roman" w:eastAsia="Times New Roman" w:hAnsi="Times New Roman" w:cs="Times New Roman"/>
        </w:rPr>
        <w:t xml:space="preserve"> -1000 stock position and t</w:t>
      </w:r>
      <w:r w:rsidR="00F65CF8" w:rsidRPr="00E87DED">
        <w:rPr>
          <w:rFonts w:ascii="Times New Roman" w:eastAsia="Times New Roman" w:hAnsi="Times New Roman" w:cs="Times New Roman"/>
        </w:rPr>
        <w:t>he start value for each strategy is $100</w:t>
      </w:r>
      <w:r w:rsidR="00896F1C">
        <w:rPr>
          <w:rFonts w:ascii="Times New Roman" w:eastAsia="Times New Roman" w:hAnsi="Times New Roman" w:cs="Times New Roman"/>
        </w:rPr>
        <w:t>,</w:t>
      </w:r>
      <w:r w:rsidR="00F65CF8" w:rsidRPr="00E87DED">
        <w:rPr>
          <w:rFonts w:ascii="Times New Roman" w:eastAsia="Times New Roman" w:hAnsi="Times New Roman" w:cs="Times New Roman"/>
        </w:rPr>
        <w:t>00</w:t>
      </w:r>
      <w:r w:rsidR="00896F1C">
        <w:rPr>
          <w:rFonts w:ascii="Times New Roman" w:eastAsia="Times New Roman" w:hAnsi="Times New Roman" w:cs="Times New Roman"/>
        </w:rPr>
        <w:t>0</w:t>
      </w:r>
      <w:r w:rsidR="00F65CF8" w:rsidRPr="00E87DED">
        <w:rPr>
          <w:rFonts w:ascii="Times New Roman" w:eastAsia="Times New Roman" w:hAnsi="Times New Roman" w:cs="Times New Roman"/>
        </w:rPr>
        <w:t>.</w:t>
      </w:r>
      <w:r w:rsidR="00F65CF8" w:rsidRPr="00E87DED">
        <w:rPr>
          <w:rFonts w:eastAsia="Times New Roman"/>
        </w:rPr>
        <w:t xml:space="preserve"> </w:t>
      </w:r>
    </w:p>
    <w:p w14:paraId="6CC60FF4" w14:textId="77777777" w:rsidR="00896F1C" w:rsidRDefault="00896F1C" w:rsidP="00896F1C">
      <w:pPr>
        <w:pStyle w:val="ListParagraph"/>
        <w:rPr>
          <w:rFonts w:eastAsia="Times New Roman"/>
        </w:rPr>
      </w:pPr>
    </w:p>
    <w:p w14:paraId="17F12C76" w14:textId="392382B5" w:rsidR="00BE093D" w:rsidRDefault="00F93E4C" w:rsidP="00BE093D">
      <w:pPr>
        <w:pStyle w:val="ListParagraph"/>
        <w:rPr>
          <w:rFonts w:ascii="Times New Roman" w:eastAsia="Times New Roman" w:hAnsi="Times New Roman" w:cs="Times New Roman"/>
        </w:rPr>
      </w:pPr>
      <w:r>
        <w:rPr>
          <w:rFonts w:ascii="Times New Roman" w:eastAsia="Times New Roman" w:hAnsi="Times New Roman" w:cs="Times New Roman"/>
        </w:rPr>
        <w:t xml:space="preserve">Graphs below illustrates the comparison between these three strategies. </w:t>
      </w:r>
      <w:r w:rsidR="00F65CF8" w:rsidRPr="00896F1C">
        <w:rPr>
          <w:rFonts w:ascii="Times New Roman" w:eastAsia="Times New Roman" w:hAnsi="Times New Roman" w:cs="Times New Roman"/>
        </w:rPr>
        <w:t xml:space="preserve">Y axis </w:t>
      </w:r>
      <w:r>
        <w:rPr>
          <w:rFonts w:ascii="Times New Roman" w:eastAsia="Times New Roman" w:hAnsi="Times New Roman" w:cs="Times New Roman"/>
        </w:rPr>
        <w:t xml:space="preserve">presents the </w:t>
      </w:r>
      <w:r w:rsidR="00F65CF8" w:rsidRPr="00896F1C">
        <w:rPr>
          <w:rFonts w:ascii="Times New Roman" w:eastAsia="Times New Roman" w:hAnsi="Times New Roman" w:cs="Times New Roman"/>
        </w:rPr>
        <w:t xml:space="preserve">is the </w:t>
      </w:r>
      <w:r w:rsidRPr="00896F1C">
        <w:rPr>
          <w:rFonts w:ascii="Times New Roman" w:eastAsia="Times New Roman" w:hAnsi="Times New Roman" w:cs="Times New Roman"/>
        </w:rPr>
        <w:t>normalized</w:t>
      </w:r>
      <w:r w:rsidRPr="00896F1C">
        <w:rPr>
          <w:rFonts w:ascii="Times New Roman" w:eastAsia="Times New Roman" w:hAnsi="Times New Roman" w:cs="Times New Roman"/>
        </w:rPr>
        <w:t xml:space="preserve"> </w:t>
      </w:r>
      <w:r w:rsidR="00F65CF8" w:rsidRPr="00896F1C">
        <w:rPr>
          <w:rFonts w:ascii="Times New Roman" w:eastAsia="Times New Roman" w:hAnsi="Times New Roman" w:cs="Times New Roman"/>
        </w:rPr>
        <w:t>value of portfolio. Green</w:t>
      </w:r>
      <w:r>
        <w:rPr>
          <w:rFonts w:ascii="Times New Roman" w:eastAsia="Times New Roman" w:hAnsi="Times New Roman" w:cs="Times New Roman"/>
        </w:rPr>
        <w:t xml:space="preserve"> vertical</w:t>
      </w:r>
      <w:r w:rsidR="00F65CF8" w:rsidRPr="00896F1C">
        <w:rPr>
          <w:rFonts w:ascii="Times New Roman" w:eastAsia="Times New Roman" w:hAnsi="Times New Roman" w:cs="Times New Roman"/>
        </w:rPr>
        <w:t xml:space="preserve"> lines </w:t>
      </w:r>
      <w:r w:rsidR="00D82062">
        <w:rPr>
          <w:rFonts w:ascii="Times New Roman" w:eastAsia="Times New Roman" w:hAnsi="Times New Roman" w:cs="Times New Roman"/>
        </w:rPr>
        <w:t>indicate the long position while the red vertical lines indicate</w:t>
      </w:r>
      <w:r w:rsidR="00D82062">
        <w:rPr>
          <w:rFonts w:ascii="Times New Roman" w:eastAsia="Times New Roman" w:hAnsi="Times New Roman" w:cs="Times New Roman"/>
        </w:rPr>
        <w:t xml:space="preserve"> the </w:t>
      </w:r>
      <w:r w:rsidR="00D82062">
        <w:rPr>
          <w:rFonts w:ascii="Times New Roman" w:eastAsia="Times New Roman" w:hAnsi="Times New Roman" w:cs="Times New Roman"/>
        </w:rPr>
        <w:t>short</w:t>
      </w:r>
      <w:r w:rsidR="00D82062">
        <w:rPr>
          <w:rFonts w:ascii="Times New Roman" w:eastAsia="Times New Roman" w:hAnsi="Times New Roman" w:cs="Times New Roman"/>
        </w:rPr>
        <w:t xml:space="preserve"> position</w:t>
      </w:r>
      <w:r w:rsidR="00F65CF8" w:rsidRPr="00896F1C">
        <w:rPr>
          <w:rFonts w:ascii="Times New Roman" w:eastAsia="Times New Roman" w:hAnsi="Times New Roman" w:cs="Times New Roman"/>
        </w:rPr>
        <w:t xml:space="preserve">. </w:t>
      </w:r>
      <w:r w:rsidR="00D82062" w:rsidRPr="00D82062">
        <w:rPr>
          <w:rFonts w:ascii="Times New Roman" w:eastAsia="Times New Roman" w:hAnsi="Times New Roman" w:cs="Times New Roman"/>
        </w:rPr>
        <w:t>W</w:t>
      </w:r>
      <w:r w:rsidR="00F65CF8" w:rsidRPr="00D82062">
        <w:rPr>
          <w:rFonts w:ascii="Times New Roman" w:eastAsia="Times New Roman" w:hAnsi="Times New Roman" w:cs="Times New Roman"/>
        </w:rPr>
        <w:t xml:space="preserve">e can </w:t>
      </w:r>
      <w:r w:rsidR="00D82062" w:rsidRPr="00D82062">
        <w:rPr>
          <w:rFonts w:ascii="Times New Roman" w:eastAsia="Times New Roman" w:hAnsi="Times New Roman" w:cs="Times New Roman"/>
        </w:rPr>
        <w:t>observe that</w:t>
      </w:r>
      <w:r w:rsidR="00F65CF8" w:rsidRPr="00D82062">
        <w:rPr>
          <w:rFonts w:ascii="Times New Roman" w:eastAsia="Times New Roman" w:hAnsi="Times New Roman" w:cs="Times New Roman"/>
        </w:rPr>
        <w:t xml:space="preserve"> both of manual strategy and strategy learner </w:t>
      </w:r>
      <w:r w:rsidR="00D82062">
        <w:rPr>
          <w:rFonts w:ascii="Times New Roman" w:eastAsia="Times New Roman" w:hAnsi="Times New Roman" w:cs="Times New Roman"/>
        </w:rPr>
        <w:t>outperforms</w:t>
      </w:r>
      <w:r w:rsidR="00F65CF8" w:rsidRPr="00D82062">
        <w:rPr>
          <w:rFonts w:ascii="Times New Roman" w:eastAsia="Times New Roman" w:hAnsi="Times New Roman" w:cs="Times New Roman"/>
        </w:rPr>
        <w:t xml:space="preserve"> than the benchmark.</w:t>
      </w:r>
      <w:r w:rsidR="00F65CF8" w:rsidRPr="00BE093D">
        <w:rPr>
          <w:rFonts w:ascii="Times New Roman" w:eastAsia="Times New Roman" w:hAnsi="Times New Roman" w:cs="Times New Roman"/>
        </w:rPr>
        <w:t xml:space="preserve"> </w:t>
      </w:r>
      <w:r w:rsidR="00BE093D">
        <w:rPr>
          <w:rFonts w:ascii="Times New Roman" w:eastAsia="Times New Roman" w:hAnsi="Times New Roman" w:cs="Times New Roman"/>
        </w:rPr>
        <w:t>Besides</w:t>
      </w:r>
      <w:r w:rsidR="00F65CF8" w:rsidRPr="00BE093D">
        <w:rPr>
          <w:rFonts w:ascii="Times New Roman" w:eastAsia="Times New Roman" w:hAnsi="Times New Roman" w:cs="Times New Roman"/>
        </w:rPr>
        <w:t xml:space="preserve">, the strategy learner </w:t>
      </w:r>
      <w:r w:rsidR="00905470">
        <w:rPr>
          <w:rFonts w:ascii="Times New Roman" w:eastAsia="Times New Roman" w:hAnsi="Times New Roman" w:cs="Times New Roman"/>
        </w:rPr>
        <w:t xml:space="preserve">trades way more frequently and </w:t>
      </w:r>
      <w:r w:rsidR="00F65CF8" w:rsidRPr="00BE093D">
        <w:rPr>
          <w:rFonts w:ascii="Times New Roman" w:eastAsia="Times New Roman" w:hAnsi="Times New Roman" w:cs="Times New Roman"/>
        </w:rPr>
        <w:t xml:space="preserve">has a better performance than the manual strategy. </w:t>
      </w:r>
      <w:r w:rsidR="00BE093D">
        <w:rPr>
          <w:rFonts w:ascii="Times New Roman" w:eastAsia="Times New Roman" w:hAnsi="Times New Roman" w:cs="Times New Roman"/>
        </w:rPr>
        <w:t>And</w:t>
      </w:r>
      <w:r w:rsidR="00BE093D">
        <w:rPr>
          <w:rFonts w:ascii="Times New Roman" w:eastAsia="Times New Roman" w:hAnsi="Times New Roman" w:cs="Times New Roman"/>
        </w:rPr>
        <w:t xml:space="preserve"> as shown by the table below</w:t>
      </w:r>
      <w:r w:rsidR="00BE093D">
        <w:rPr>
          <w:rFonts w:ascii="Times New Roman" w:eastAsia="Times New Roman" w:hAnsi="Times New Roman" w:cs="Times New Roman"/>
        </w:rPr>
        <w:t xml:space="preserve"> the </w:t>
      </w:r>
      <w:r w:rsidR="00BE093D" w:rsidRPr="00BE093D">
        <w:rPr>
          <w:rFonts w:ascii="Times New Roman" w:eastAsia="Times New Roman" w:hAnsi="Times New Roman" w:cs="Times New Roman"/>
        </w:rPr>
        <w:t xml:space="preserve">strategy learner </w:t>
      </w:r>
      <w:r w:rsidR="00BE093D">
        <w:rPr>
          <w:rFonts w:ascii="Times New Roman" w:eastAsia="Times New Roman" w:hAnsi="Times New Roman" w:cs="Times New Roman"/>
        </w:rPr>
        <w:t>has higher cumulative return, average daily return and lower s</w:t>
      </w:r>
      <w:r w:rsidR="00BE093D" w:rsidRPr="00FA7084">
        <w:rPr>
          <w:rFonts w:ascii="Times New Roman" w:eastAsia="Times New Roman" w:hAnsi="Times New Roman" w:cs="Times New Roman"/>
        </w:rPr>
        <w:t xml:space="preserve">tandard </w:t>
      </w:r>
      <w:r w:rsidR="00BE093D">
        <w:rPr>
          <w:rFonts w:ascii="Times New Roman" w:eastAsia="Times New Roman" w:hAnsi="Times New Roman" w:cs="Times New Roman"/>
        </w:rPr>
        <w:t>d</w:t>
      </w:r>
      <w:r w:rsidR="00BE093D" w:rsidRPr="00FA7084">
        <w:rPr>
          <w:rFonts w:ascii="Times New Roman" w:eastAsia="Times New Roman" w:hAnsi="Times New Roman" w:cs="Times New Roman"/>
        </w:rPr>
        <w:t xml:space="preserve">eviation of </w:t>
      </w:r>
      <w:r w:rsidR="00BE093D">
        <w:rPr>
          <w:rFonts w:ascii="Times New Roman" w:eastAsia="Times New Roman" w:hAnsi="Times New Roman" w:cs="Times New Roman"/>
        </w:rPr>
        <w:t>d</w:t>
      </w:r>
      <w:r w:rsidR="00BE093D" w:rsidRPr="00FA7084">
        <w:rPr>
          <w:rFonts w:ascii="Times New Roman" w:eastAsia="Times New Roman" w:hAnsi="Times New Roman" w:cs="Times New Roman"/>
        </w:rPr>
        <w:t xml:space="preserve">aily </w:t>
      </w:r>
      <w:r w:rsidR="00BE093D">
        <w:rPr>
          <w:rFonts w:ascii="Times New Roman" w:eastAsia="Times New Roman" w:hAnsi="Times New Roman" w:cs="Times New Roman"/>
        </w:rPr>
        <w:t>r</w:t>
      </w:r>
      <w:r w:rsidR="00BE093D" w:rsidRPr="00FA7084">
        <w:rPr>
          <w:rFonts w:ascii="Times New Roman" w:eastAsia="Times New Roman" w:hAnsi="Times New Roman" w:cs="Times New Roman"/>
        </w:rPr>
        <w:t>eturn</w:t>
      </w:r>
      <w:r w:rsidR="00BE093D">
        <w:rPr>
          <w:rFonts w:ascii="Times New Roman" w:eastAsia="Times New Roman" w:hAnsi="Times New Roman" w:cs="Times New Roman"/>
        </w:rPr>
        <w:t xml:space="preserve"> in the in-sample period.</w:t>
      </w:r>
    </w:p>
    <w:p w14:paraId="0B555C31" w14:textId="77777777" w:rsidR="00905470" w:rsidRDefault="00905470" w:rsidP="00BE093D">
      <w:pPr>
        <w:pStyle w:val="ListParagraph"/>
        <w:rPr>
          <w:rFonts w:ascii="Times New Roman" w:eastAsia="Times New Roman" w:hAnsi="Times New Roman" w:cs="Times New Roman"/>
        </w:rPr>
      </w:pPr>
    </w:p>
    <w:p w14:paraId="64BE78D9" w14:textId="7A2F4E52" w:rsidR="00905470" w:rsidRDefault="00905470" w:rsidP="00905470">
      <w:pPr>
        <w:pStyle w:val="ListParagraph"/>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3DC9C66" wp14:editId="5CCC2BB8">
            <wp:extent cx="5943600" cy="1711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nue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711960"/>
                    </a:xfrm>
                    <a:prstGeom prst="rect">
                      <a:avLst/>
                    </a:prstGeom>
                  </pic:spPr>
                </pic:pic>
              </a:graphicData>
            </a:graphic>
          </wp:inline>
        </w:drawing>
      </w:r>
    </w:p>
    <w:p w14:paraId="26B21A31" w14:textId="77777777" w:rsidR="00BE093D" w:rsidRDefault="00BE093D" w:rsidP="00BE093D">
      <w:pPr>
        <w:pStyle w:val="ListParagraph"/>
        <w:rPr>
          <w:rFonts w:ascii="Times New Roman" w:eastAsia="Times New Roman" w:hAnsi="Times New Roman" w:cs="Times New Roman"/>
        </w:rPr>
      </w:pPr>
    </w:p>
    <w:p w14:paraId="19A39C99" w14:textId="1B4D366E" w:rsidR="00BE093D" w:rsidRDefault="00905470" w:rsidP="00BE093D">
      <w:pPr>
        <w:pStyle w:val="ListParagrap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C2DE902" wp14:editId="5C9AC925">
            <wp:extent cx="5943600" cy="1711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ategy.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711960"/>
                    </a:xfrm>
                    <a:prstGeom prst="rect">
                      <a:avLst/>
                    </a:prstGeom>
                  </pic:spPr>
                </pic:pic>
              </a:graphicData>
            </a:graphic>
          </wp:inline>
        </w:drawing>
      </w:r>
    </w:p>
    <w:tbl>
      <w:tblPr>
        <w:tblStyle w:val="TableGrid"/>
        <w:tblpPr w:leftFromText="180" w:rightFromText="180" w:vertAnchor="text" w:horzAnchor="page" w:tblpX="1810" w:tblpY="182"/>
        <w:tblW w:w="0" w:type="auto"/>
        <w:tblLook w:val="04A0" w:firstRow="1" w:lastRow="0" w:firstColumn="1" w:lastColumn="0" w:noHBand="0" w:noVBand="1"/>
      </w:tblPr>
      <w:tblGrid>
        <w:gridCol w:w="3116"/>
        <w:gridCol w:w="1858"/>
        <w:gridCol w:w="2392"/>
        <w:gridCol w:w="1984"/>
      </w:tblGrid>
      <w:tr w:rsidR="00905470" w14:paraId="266412DA" w14:textId="77777777" w:rsidTr="00905470">
        <w:tc>
          <w:tcPr>
            <w:tcW w:w="3116" w:type="dxa"/>
          </w:tcPr>
          <w:p w14:paraId="004CA955" w14:textId="77777777" w:rsidR="00905470" w:rsidRDefault="00905470" w:rsidP="00905470">
            <w:pPr>
              <w:rPr>
                <w:rFonts w:eastAsia="Times New Roman"/>
              </w:rPr>
            </w:pPr>
          </w:p>
        </w:tc>
        <w:tc>
          <w:tcPr>
            <w:tcW w:w="1858" w:type="dxa"/>
          </w:tcPr>
          <w:p w14:paraId="1808D163" w14:textId="77777777" w:rsidR="00905470" w:rsidRDefault="00905470" w:rsidP="00905470">
            <w:pPr>
              <w:jc w:val="center"/>
              <w:rPr>
                <w:rFonts w:eastAsia="Times New Roman"/>
              </w:rPr>
            </w:pPr>
            <w:r>
              <w:rPr>
                <w:rFonts w:eastAsia="Times New Roman"/>
              </w:rPr>
              <w:t>Benchmark</w:t>
            </w:r>
          </w:p>
        </w:tc>
        <w:tc>
          <w:tcPr>
            <w:tcW w:w="2392" w:type="dxa"/>
          </w:tcPr>
          <w:p w14:paraId="25557C97" w14:textId="77777777" w:rsidR="00905470" w:rsidRDefault="00905470" w:rsidP="00905470">
            <w:pPr>
              <w:jc w:val="center"/>
              <w:rPr>
                <w:rFonts w:eastAsia="Times New Roman"/>
              </w:rPr>
            </w:pPr>
            <w:r>
              <w:rPr>
                <w:rFonts w:eastAsia="Times New Roman"/>
              </w:rPr>
              <w:t>Manual Strategy</w:t>
            </w:r>
          </w:p>
        </w:tc>
        <w:tc>
          <w:tcPr>
            <w:tcW w:w="1984" w:type="dxa"/>
          </w:tcPr>
          <w:p w14:paraId="5B99627C" w14:textId="77777777" w:rsidR="00905470" w:rsidRDefault="00905470" w:rsidP="00905470">
            <w:pPr>
              <w:jc w:val="center"/>
              <w:rPr>
                <w:rFonts w:eastAsia="Times New Roman"/>
              </w:rPr>
            </w:pPr>
            <w:r>
              <w:rPr>
                <w:rFonts w:eastAsia="Times New Roman"/>
              </w:rPr>
              <w:t>Strategy Learner</w:t>
            </w:r>
          </w:p>
        </w:tc>
      </w:tr>
      <w:tr w:rsidR="00905470" w14:paraId="28E9A5B7" w14:textId="77777777" w:rsidTr="00905470">
        <w:tc>
          <w:tcPr>
            <w:tcW w:w="3116" w:type="dxa"/>
          </w:tcPr>
          <w:p w14:paraId="68340CEF" w14:textId="77777777" w:rsidR="00905470" w:rsidRPr="00FA7084" w:rsidRDefault="00905470" w:rsidP="00905470">
            <w:pPr>
              <w:jc w:val="center"/>
              <w:rPr>
                <w:rFonts w:eastAsia="Times New Roman"/>
                <w:sz w:val="20"/>
                <w:szCs w:val="20"/>
              </w:rPr>
            </w:pPr>
            <w:r w:rsidRPr="00FA7084">
              <w:rPr>
                <w:rFonts w:eastAsia="Times New Roman"/>
                <w:sz w:val="20"/>
                <w:szCs w:val="20"/>
              </w:rPr>
              <w:t>Cumulative Return</w:t>
            </w:r>
          </w:p>
        </w:tc>
        <w:tc>
          <w:tcPr>
            <w:tcW w:w="1858" w:type="dxa"/>
          </w:tcPr>
          <w:p w14:paraId="2FE12190" w14:textId="77777777" w:rsidR="00905470" w:rsidRDefault="00905470" w:rsidP="00905470">
            <w:pPr>
              <w:jc w:val="center"/>
              <w:rPr>
                <w:rFonts w:eastAsia="Times New Roman"/>
              </w:rPr>
            </w:pPr>
            <w:r>
              <w:rPr>
                <w:rFonts w:eastAsia="Times New Roman"/>
              </w:rPr>
              <w:t>1.23%</w:t>
            </w:r>
          </w:p>
        </w:tc>
        <w:tc>
          <w:tcPr>
            <w:tcW w:w="2392" w:type="dxa"/>
          </w:tcPr>
          <w:p w14:paraId="6AD16B00" w14:textId="77777777" w:rsidR="00905470" w:rsidRDefault="00905470" w:rsidP="00905470">
            <w:pPr>
              <w:jc w:val="center"/>
              <w:rPr>
                <w:rFonts w:eastAsia="Times New Roman"/>
              </w:rPr>
            </w:pPr>
            <w:r>
              <w:rPr>
                <w:rFonts w:eastAsia="Times New Roman"/>
              </w:rPr>
              <w:t>63.82%</w:t>
            </w:r>
          </w:p>
        </w:tc>
        <w:tc>
          <w:tcPr>
            <w:tcW w:w="1984" w:type="dxa"/>
          </w:tcPr>
          <w:p w14:paraId="7F02C918" w14:textId="4B3F6A43" w:rsidR="00905470" w:rsidRDefault="00905470" w:rsidP="00905470">
            <w:pPr>
              <w:jc w:val="center"/>
              <w:rPr>
                <w:rFonts w:eastAsia="Times New Roman"/>
              </w:rPr>
            </w:pPr>
            <w:r>
              <w:rPr>
                <w:rFonts w:eastAsia="Times New Roman"/>
              </w:rPr>
              <w:t>193.66%</w:t>
            </w:r>
          </w:p>
        </w:tc>
      </w:tr>
      <w:tr w:rsidR="00905470" w14:paraId="00307E22" w14:textId="77777777" w:rsidTr="00905470">
        <w:tc>
          <w:tcPr>
            <w:tcW w:w="3116" w:type="dxa"/>
          </w:tcPr>
          <w:p w14:paraId="26872B08" w14:textId="77777777" w:rsidR="00905470" w:rsidRPr="00FA7084" w:rsidRDefault="00905470" w:rsidP="00905470">
            <w:pPr>
              <w:jc w:val="center"/>
              <w:rPr>
                <w:rFonts w:eastAsia="Times New Roman"/>
                <w:sz w:val="20"/>
                <w:szCs w:val="20"/>
              </w:rPr>
            </w:pPr>
            <w:r w:rsidRPr="00FA7084">
              <w:rPr>
                <w:rFonts w:eastAsia="Times New Roman"/>
                <w:sz w:val="20"/>
                <w:szCs w:val="20"/>
              </w:rPr>
              <w:t>Mean of Daily Return</w:t>
            </w:r>
          </w:p>
        </w:tc>
        <w:tc>
          <w:tcPr>
            <w:tcW w:w="1858" w:type="dxa"/>
          </w:tcPr>
          <w:p w14:paraId="2A8AABAC" w14:textId="77777777" w:rsidR="00905470" w:rsidRDefault="00905470" w:rsidP="00905470">
            <w:pPr>
              <w:jc w:val="center"/>
              <w:rPr>
                <w:rFonts w:eastAsia="Times New Roman"/>
              </w:rPr>
            </w:pPr>
            <w:r>
              <w:rPr>
                <w:rFonts w:eastAsia="Times New Roman"/>
              </w:rPr>
              <w:t>0.0168%</w:t>
            </w:r>
          </w:p>
        </w:tc>
        <w:tc>
          <w:tcPr>
            <w:tcW w:w="2392" w:type="dxa"/>
          </w:tcPr>
          <w:p w14:paraId="24E8B031" w14:textId="59CA372F" w:rsidR="00905470" w:rsidRDefault="00905470" w:rsidP="00905470">
            <w:pPr>
              <w:jc w:val="center"/>
              <w:rPr>
                <w:rFonts w:eastAsia="Times New Roman"/>
              </w:rPr>
            </w:pPr>
            <w:r>
              <w:rPr>
                <w:rFonts w:eastAsia="Times New Roman"/>
              </w:rPr>
              <w:t>0.</w:t>
            </w:r>
            <w:r>
              <w:rPr>
                <w:rFonts w:eastAsia="Times New Roman"/>
              </w:rPr>
              <w:t>111</w:t>
            </w:r>
            <w:r>
              <w:rPr>
                <w:rFonts w:eastAsia="Times New Roman"/>
              </w:rPr>
              <w:t>%</w:t>
            </w:r>
          </w:p>
        </w:tc>
        <w:tc>
          <w:tcPr>
            <w:tcW w:w="1984" w:type="dxa"/>
          </w:tcPr>
          <w:p w14:paraId="0DBBFEF4" w14:textId="3DB3F651" w:rsidR="00905470" w:rsidRDefault="00905470" w:rsidP="00905470">
            <w:pPr>
              <w:jc w:val="center"/>
              <w:rPr>
                <w:rFonts w:eastAsia="Times New Roman"/>
              </w:rPr>
            </w:pPr>
            <w:r>
              <w:rPr>
                <w:rFonts w:eastAsia="Times New Roman"/>
              </w:rPr>
              <w:t>0.218%</w:t>
            </w:r>
          </w:p>
        </w:tc>
      </w:tr>
      <w:tr w:rsidR="00905470" w14:paraId="230374D5" w14:textId="77777777" w:rsidTr="00905470">
        <w:tc>
          <w:tcPr>
            <w:tcW w:w="3116" w:type="dxa"/>
          </w:tcPr>
          <w:p w14:paraId="5F638743" w14:textId="77777777" w:rsidR="00905470" w:rsidRPr="00FA7084" w:rsidRDefault="00905470" w:rsidP="00905470">
            <w:pPr>
              <w:jc w:val="center"/>
              <w:rPr>
                <w:rFonts w:eastAsia="Times New Roman"/>
                <w:sz w:val="20"/>
                <w:szCs w:val="20"/>
              </w:rPr>
            </w:pPr>
            <w:r w:rsidRPr="00FA7084">
              <w:rPr>
                <w:rFonts w:eastAsia="Times New Roman"/>
                <w:sz w:val="20"/>
                <w:szCs w:val="20"/>
              </w:rPr>
              <w:t>Standard Deviation of Daily Return</w:t>
            </w:r>
          </w:p>
        </w:tc>
        <w:tc>
          <w:tcPr>
            <w:tcW w:w="1858" w:type="dxa"/>
          </w:tcPr>
          <w:p w14:paraId="0848F5ED" w14:textId="77777777" w:rsidR="00905470" w:rsidRDefault="00905470" w:rsidP="00905470">
            <w:pPr>
              <w:jc w:val="center"/>
              <w:rPr>
                <w:rFonts w:eastAsia="Times New Roman"/>
              </w:rPr>
            </w:pPr>
            <w:r>
              <w:rPr>
                <w:rFonts w:eastAsia="Times New Roman"/>
              </w:rPr>
              <w:t>1.705%</w:t>
            </w:r>
          </w:p>
        </w:tc>
        <w:tc>
          <w:tcPr>
            <w:tcW w:w="2392" w:type="dxa"/>
          </w:tcPr>
          <w:p w14:paraId="720F4C20" w14:textId="634EADE1" w:rsidR="00905470" w:rsidRDefault="00905470" w:rsidP="00905470">
            <w:pPr>
              <w:jc w:val="center"/>
              <w:rPr>
                <w:rFonts w:eastAsia="Times New Roman"/>
              </w:rPr>
            </w:pPr>
            <w:r>
              <w:rPr>
                <w:rFonts w:eastAsia="Times New Roman"/>
              </w:rPr>
              <w:t>1.2</w:t>
            </w:r>
            <w:r>
              <w:rPr>
                <w:rFonts w:eastAsia="Times New Roman"/>
              </w:rPr>
              <w:t>59</w:t>
            </w:r>
            <w:r>
              <w:rPr>
                <w:rFonts w:eastAsia="Times New Roman"/>
              </w:rPr>
              <w:t>%</w:t>
            </w:r>
          </w:p>
        </w:tc>
        <w:tc>
          <w:tcPr>
            <w:tcW w:w="1984" w:type="dxa"/>
          </w:tcPr>
          <w:p w14:paraId="4FE86F52" w14:textId="068B3C02" w:rsidR="00905470" w:rsidRDefault="00905470" w:rsidP="00905470">
            <w:pPr>
              <w:jc w:val="center"/>
              <w:rPr>
                <w:rFonts w:eastAsia="Times New Roman"/>
              </w:rPr>
            </w:pPr>
            <w:r>
              <w:rPr>
                <w:rFonts w:eastAsia="Times New Roman"/>
              </w:rPr>
              <w:t>0.938%</w:t>
            </w:r>
          </w:p>
        </w:tc>
      </w:tr>
    </w:tbl>
    <w:p w14:paraId="7D968C67" w14:textId="77777777" w:rsidR="00905470" w:rsidRPr="00905470" w:rsidRDefault="00905470" w:rsidP="00905470">
      <w:pPr>
        <w:rPr>
          <w:rFonts w:eastAsia="Times New Roman"/>
        </w:rPr>
      </w:pPr>
    </w:p>
    <w:p w14:paraId="13954C86" w14:textId="77777777" w:rsidR="00905470" w:rsidRDefault="00905470" w:rsidP="00BE093D">
      <w:pPr>
        <w:pStyle w:val="ListParagraph"/>
        <w:rPr>
          <w:rFonts w:ascii="Times New Roman" w:eastAsia="Times New Roman" w:hAnsi="Times New Roman" w:cs="Times New Roman"/>
        </w:rPr>
      </w:pPr>
    </w:p>
    <w:p w14:paraId="0F39378E" w14:textId="7B50F257" w:rsidR="008A5C54" w:rsidRPr="00BE093D" w:rsidRDefault="00905470" w:rsidP="00BE093D">
      <w:pPr>
        <w:pStyle w:val="ListParagraph"/>
        <w:rPr>
          <w:rFonts w:ascii="Times New Roman" w:eastAsia="Times New Roman" w:hAnsi="Times New Roman" w:cs="Times New Roman"/>
        </w:rPr>
      </w:pPr>
      <w:r>
        <w:rPr>
          <w:rFonts w:ascii="Times New Roman" w:eastAsia="Times New Roman" w:hAnsi="Times New Roman" w:cs="Times New Roman"/>
        </w:rPr>
        <w:t xml:space="preserve">The results from the first </w:t>
      </w:r>
      <w:r w:rsidR="00F65CF8" w:rsidRPr="00905470">
        <w:rPr>
          <w:rFonts w:ascii="Times New Roman" w:eastAsia="Times New Roman" w:hAnsi="Times New Roman" w:cs="Times New Roman"/>
        </w:rPr>
        <w:t>experiment could be expected</w:t>
      </w:r>
      <w:r>
        <w:rPr>
          <w:rFonts w:ascii="Times New Roman" w:eastAsia="Times New Roman" w:hAnsi="Times New Roman" w:cs="Times New Roman"/>
        </w:rPr>
        <w:t xml:space="preserve"> in any training datasets</w:t>
      </w:r>
      <w:r w:rsidR="00F65CF8" w:rsidRPr="00905470">
        <w:rPr>
          <w:rFonts w:ascii="Times New Roman" w:eastAsia="Times New Roman" w:hAnsi="Times New Roman" w:cs="Times New Roman"/>
        </w:rPr>
        <w:t xml:space="preserve">, </w:t>
      </w:r>
      <w:r>
        <w:rPr>
          <w:rFonts w:ascii="Times New Roman" w:eastAsia="Times New Roman" w:hAnsi="Times New Roman" w:cs="Times New Roman"/>
        </w:rPr>
        <w:t>as</w:t>
      </w:r>
      <w:r w:rsidR="00F65CF8" w:rsidRPr="00905470">
        <w:rPr>
          <w:rFonts w:ascii="Times New Roman" w:eastAsia="Times New Roman" w:hAnsi="Times New Roman" w:cs="Times New Roman"/>
        </w:rPr>
        <w:t xml:space="preserve"> the random </w:t>
      </w:r>
      <w:r>
        <w:rPr>
          <w:rFonts w:ascii="Times New Roman" w:eastAsia="Times New Roman" w:hAnsi="Times New Roman" w:cs="Times New Roman"/>
        </w:rPr>
        <w:t>forest model</w:t>
      </w:r>
      <w:r w:rsidR="00F65CF8" w:rsidRPr="00905470">
        <w:rPr>
          <w:rFonts w:ascii="Times New Roman" w:eastAsia="Times New Roman" w:hAnsi="Times New Roman" w:cs="Times New Roman"/>
        </w:rPr>
        <w:t xml:space="preserve"> learn from the sample </w:t>
      </w:r>
      <w:r>
        <w:rPr>
          <w:rFonts w:ascii="Times New Roman" w:eastAsia="Times New Roman" w:hAnsi="Times New Roman" w:cs="Times New Roman"/>
        </w:rPr>
        <w:t xml:space="preserve">data, aiming at achieving the best performance (i.e. maximize the profit) based on the training period. Besides, given no impact and transaction fee in this hypothetical environment, there is nothing limits the trading frequency. Therefore, </w:t>
      </w:r>
      <w:r w:rsidR="00F65CF8" w:rsidRPr="00905470">
        <w:rPr>
          <w:rFonts w:ascii="Times New Roman" w:eastAsia="Times New Roman" w:hAnsi="Times New Roman" w:cs="Times New Roman"/>
        </w:rPr>
        <w:t xml:space="preserve">the strategy learner </w:t>
      </w:r>
      <w:r>
        <w:rPr>
          <w:rFonts w:ascii="Times New Roman" w:eastAsia="Times New Roman" w:hAnsi="Times New Roman" w:cs="Times New Roman"/>
        </w:rPr>
        <w:t>will</w:t>
      </w:r>
      <w:r w:rsidR="00F65CF8" w:rsidRPr="00905470">
        <w:rPr>
          <w:rFonts w:ascii="Times New Roman" w:eastAsia="Times New Roman" w:hAnsi="Times New Roman" w:cs="Times New Roman"/>
        </w:rPr>
        <w:t xml:space="preserve"> always</w:t>
      </w:r>
      <w:r>
        <w:rPr>
          <w:rFonts w:ascii="Times New Roman" w:eastAsia="Times New Roman" w:hAnsi="Times New Roman" w:cs="Times New Roman"/>
        </w:rPr>
        <w:t xml:space="preserve"> overshadow the manual strategy in the in-sample period</w:t>
      </w:r>
    </w:p>
    <w:p w14:paraId="3DB4A407" w14:textId="7D1B6B1C" w:rsidR="008A5C54" w:rsidRDefault="008A5C54" w:rsidP="0024735A">
      <w:pPr>
        <w:pStyle w:val="ListParagraph"/>
        <w:rPr>
          <w:rFonts w:ascii="Times New Roman" w:eastAsia="Times New Roman" w:hAnsi="Times New Roman" w:cs="Times New Roman"/>
        </w:rPr>
      </w:pPr>
    </w:p>
    <w:p w14:paraId="265589C4" w14:textId="77777777" w:rsidR="0024735A" w:rsidRPr="00905470" w:rsidRDefault="0024735A" w:rsidP="00905470">
      <w:pPr>
        <w:rPr>
          <w:rFonts w:eastAsia="Times New Roman"/>
        </w:rPr>
      </w:pPr>
    </w:p>
    <w:p w14:paraId="32D3FFCE" w14:textId="29BF117E" w:rsidR="00905470" w:rsidRDefault="00905470" w:rsidP="00905470">
      <w:pPr>
        <w:pStyle w:val="ListParagraph"/>
        <w:numPr>
          <w:ilvl w:val="0"/>
          <w:numId w:val="1"/>
        </w:numPr>
        <w:rPr>
          <w:rFonts w:ascii="Times New Roman" w:eastAsia="Times New Roman" w:hAnsi="Times New Roman" w:cs="Times New Roman" w:hint="eastAsia"/>
          <w:b/>
        </w:rPr>
      </w:pPr>
      <w:r>
        <w:rPr>
          <w:rFonts w:ascii="Times New Roman" w:eastAsia="Times New Roman" w:hAnsi="Times New Roman" w:cs="Times New Roman"/>
          <w:b/>
        </w:rPr>
        <w:t>Experiment 2</w:t>
      </w:r>
    </w:p>
    <w:p w14:paraId="5E5232B4" w14:textId="77777777" w:rsidR="00BA0405" w:rsidRDefault="00BA0405" w:rsidP="00BA0405">
      <w:pPr>
        <w:pStyle w:val="ListParagraph"/>
        <w:rPr>
          <w:rFonts w:ascii="Times New Roman" w:eastAsia="Times New Roman" w:hAnsi="Times New Roman" w:cs="Times New Roman"/>
          <w:b/>
        </w:rPr>
      </w:pPr>
    </w:p>
    <w:p w14:paraId="7DD4A77F" w14:textId="77777777" w:rsidR="005D16CB" w:rsidRDefault="005D16CB" w:rsidP="005D16CB">
      <w:pPr>
        <w:pStyle w:val="ListParagraph"/>
        <w:rPr>
          <w:rFonts w:ascii="Times New Roman" w:eastAsia="Times New Roman" w:hAnsi="Times New Roman" w:cs="Times New Roman"/>
        </w:rPr>
      </w:pPr>
      <w:r w:rsidRPr="005D16CB">
        <w:rPr>
          <w:rFonts w:ascii="Times New Roman" w:eastAsia="Times New Roman" w:hAnsi="Times New Roman" w:cs="Times New Roman"/>
        </w:rPr>
        <w:t xml:space="preserve">This experiment </w:t>
      </w:r>
      <w:r>
        <w:rPr>
          <w:rFonts w:ascii="Times New Roman" w:eastAsia="Times New Roman" w:hAnsi="Times New Roman" w:cs="Times New Roman"/>
        </w:rPr>
        <w:t xml:space="preserve">investigates the behavior of the trading robot with respect to the change of impact factor, </w:t>
      </w:r>
      <w:r w:rsidRPr="005D16CB">
        <w:rPr>
          <w:rFonts w:ascii="Times New Roman" w:eastAsia="Times New Roman" w:hAnsi="Times New Roman" w:cs="Times New Roman"/>
        </w:rPr>
        <w:t xml:space="preserve">which is </w:t>
      </w:r>
      <w:r>
        <w:rPr>
          <w:rFonts w:ascii="Times New Roman" w:eastAsia="Times New Roman" w:hAnsi="Times New Roman" w:cs="Times New Roman"/>
        </w:rPr>
        <w:t xml:space="preserve">a </w:t>
      </w:r>
      <w:r w:rsidRPr="005D16CB">
        <w:rPr>
          <w:rFonts w:ascii="Times New Roman" w:eastAsia="Times New Roman" w:hAnsi="Times New Roman" w:cs="Times New Roman"/>
        </w:rPr>
        <w:t xml:space="preserve">charged </w:t>
      </w:r>
      <w:r>
        <w:rPr>
          <w:rFonts w:ascii="Times New Roman" w:eastAsia="Times New Roman" w:hAnsi="Times New Roman" w:cs="Times New Roman"/>
        </w:rPr>
        <w:t>when executing a trade</w:t>
      </w:r>
      <w:r w:rsidRPr="005D16CB">
        <w:rPr>
          <w:rFonts w:ascii="Times New Roman" w:eastAsia="Times New Roman" w:hAnsi="Times New Roman" w:cs="Times New Roman"/>
        </w:rPr>
        <w:t xml:space="preserve">. </w:t>
      </w:r>
      <w:r>
        <w:rPr>
          <w:rFonts w:ascii="Times New Roman" w:eastAsia="Times New Roman" w:hAnsi="Times New Roman" w:cs="Times New Roman"/>
        </w:rPr>
        <w:t>A</w:t>
      </w:r>
      <w:r w:rsidRPr="00AF2AE7">
        <w:rPr>
          <w:rFonts w:ascii="Times New Roman" w:eastAsia="Times New Roman" w:hAnsi="Times New Roman" w:cs="Times New Roman"/>
        </w:rPr>
        <w:t xml:space="preserve"> high impact may discourage </w:t>
      </w:r>
      <w:r>
        <w:rPr>
          <w:rFonts w:ascii="Times New Roman" w:eastAsia="Times New Roman" w:hAnsi="Times New Roman" w:cs="Times New Roman"/>
        </w:rPr>
        <w:t>the</w:t>
      </w:r>
      <w:r w:rsidRPr="00AF2AE7">
        <w:rPr>
          <w:rFonts w:ascii="Times New Roman" w:eastAsia="Times New Roman" w:hAnsi="Times New Roman" w:cs="Times New Roman"/>
        </w:rPr>
        <w:t xml:space="preserve"> trading </w:t>
      </w:r>
      <w:r>
        <w:rPr>
          <w:rFonts w:ascii="Times New Roman" w:eastAsia="Times New Roman" w:hAnsi="Times New Roman" w:cs="Times New Roman"/>
        </w:rPr>
        <w:t xml:space="preserve">frequency </w:t>
      </w:r>
      <w:r w:rsidRPr="00AF2AE7">
        <w:rPr>
          <w:rFonts w:ascii="Times New Roman" w:eastAsia="Times New Roman" w:hAnsi="Times New Roman" w:cs="Times New Roman"/>
        </w:rPr>
        <w:t>and an increasing</w:t>
      </w:r>
      <w:r>
        <w:rPr>
          <w:rFonts w:ascii="Times New Roman" w:eastAsia="Times New Roman" w:hAnsi="Times New Roman" w:cs="Times New Roman"/>
        </w:rPr>
        <w:t>/decreasing</w:t>
      </w:r>
      <w:r w:rsidRPr="00AF2AE7">
        <w:rPr>
          <w:rFonts w:ascii="Times New Roman" w:eastAsia="Times New Roman" w:hAnsi="Times New Roman" w:cs="Times New Roman"/>
        </w:rPr>
        <w:t xml:space="preserve"> stock is not necessarily profitable unless the stock can cover the cost of market impact.</w:t>
      </w:r>
      <w:r>
        <w:rPr>
          <w:rFonts w:ascii="Times New Roman" w:eastAsia="Times New Roman" w:hAnsi="Times New Roman" w:cs="Times New Roman"/>
        </w:rPr>
        <w:t xml:space="preserve"> </w:t>
      </w:r>
    </w:p>
    <w:p w14:paraId="19AF2395" w14:textId="77777777" w:rsidR="005D16CB" w:rsidRDefault="005D16CB" w:rsidP="005D16CB">
      <w:pPr>
        <w:pStyle w:val="ListParagraph"/>
        <w:rPr>
          <w:rFonts w:ascii="Times New Roman" w:eastAsia="Times New Roman" w:hAnsi="Times New Roman" w:cs="Times New Roman"/>
        </w:rPr>
      </w:pPr>
    </w:p>
    <w:p w14:paraId="6EF4CEB6" w14:textId="0A185A09" w:rsidR="005D16CB" w:rsidRDefault="005D16CB" w:rsidP="005D16CB">
      <w:pPr>
        <w:pStyle w:val="ListParagraph"/>
        <w:rPr>
          <w:rFonts w:ascii="Times New Roman" w:eastAsia="Times New Roman" w:hAnsi="Times New Roman" w:cs="Times New Roman"/>
        </w:rPr>
      </w:pPr>
      <w:r>
        <w:rPr>
          <w:rFonts w:ascii="Times New Roman" w:eastAsia="Times New Roman" w:hAnsi="Times New Roman" w:cs="Times New Roman"/>
        </w:rPr>
        <w:t xml:space="preserve">In this experiment, we shift the impact factor from 0 to 0.1, and re-train the trading robot given different level of impact factor. Note that </w:t>
      </w:r>
      <w:r>
        <w:rPr>
          <w:rFonts w:ascii="Times New Roman" w:eastAsia="Times New Roman" w:hAnsi="Times New Roman" w:cs="Times New Roman"/>
        </w:rPr>
        <w:t xml:space="preserve">all the trading strategy is based on the </w:t>
      </w:r>
      <w:r>
        <w:rPr>
          <w:rFonts w:ascii="Times New Roman" w:eastAsia="Times New Roman" w:hAnsi="Times New Roman" w:cs="Times New Roman"/>
        </w:rPr>
        <w:lastRenderedPageBreak/>
        <w:t>JPM stock between the in-sample period, which is between January 1, 2008 to December 31, 2009.</w:t>
      </w:r>
    </w:p>
    <w:p w14:paraId="7E7E9223" w14:textId="77777777" w:rsidR="005D16CB" w:rsidRDefault="005D16CB" w:rsidP="005D16CB">
      <w:pPr>
        <w:pStyle w:val="ListParagraph"/>
        <w:rPr>
          <w:rFonts w:ascii="Times New Roman" w:eastAsia="Times New Roman" w:hAnsi="Times New Roman" w:cs="Times New Roman"/>
        </w:rPr>
      </w:pPr>
    </w:p>
    <w:p w14:paraId="570F9277" w14:textId="2F0FF53F" w:rsidR="005D16CB" w:rsidRDefault="005D16CB" w:rsidP="005D16CB">
      <w:pPr>
        <w:pStyle w:val="ListParagraph"/>
        <w:rPr>
          <w:rFonts w:ascii="Times New Roman" w:eastAsia="Times New Roman" w:hAnsi="Times New Roman" w:cs="Times New Roman"/>
        </w:rPr>
      </w:pPr>
      <w:r>
        <w:rPr>
          <w:rFonts w:ascii="Times New Roman" w:eastAsia="Times New Roman" w:hAnsi="Times New Roman" w:cs="Times New Roman"/>
        </w:rPr>
        <w:t>The graph and table below illustrates that, the trading frequency and the profit are declining with respect the increase of the impact factor. The trading robot becomes inactive when confronting the environment with higher impact factor. It is reasonable as a</w:t>
      </w:r>
      <w:r w:rsidRPr="005D16CB">
        <w:rPr>
          <w:rFonts w:ascii="Times New Roman" w:eastAsia="Times New Roman" w:hAnsi="Times New Roman" w:cs="Times New Roman"/>
        </w:rPr>
        <w:t xml:space="preserve"> high impact will </w:t>
      </w:r>
      <w:r>
        <w:rPr>
          <w:rFonts w:ascii="Times New Roman" w:eastAsia="Times New Roman" w:hAnsi="Times New Roman" w:cs="Times New Roman"/>
        </w:rPr>
        <w:t>cost more for each trade, so the trading robot hesitate</w:t>
      </w:r>
      <w:r w:rsidR="00A7707C">
        <w:rPr>
          <w:rFonts w:ascii="Times New Roman" w:eastAsia="Times New Roman" w:hAnsi="Times New Roman" w:cs="Times New Roman"/>
        </w:rPr>
        <w:t>s</w:t>
      </w:r>
      <w:r>
        <w:rPr>
          <w:rFonts w:ascii="Times New Roman" w:eastAsia="Times New Roman" w:hAnsi="Times New Roman" w:cs="Times New Roman"/>
        </w:rPr>
        <w:t xml:space="preserve"> </w:t>
      </w:r>
      <w:r w:rsidR="00A7707C">
        <w:rPr>
          <w:rFonts w:ascii="Times New Roman" w:eastAsia="Times New Roman" w:hAnsi="Times New Roman" w:cs="Times New Roman"/>
        </w:rPr>
        <w:t xml:space="preserve">when </w:t>
      </w:r>
      <w:r>
        <w:rPr>
          <w:rFonts w:ascii="Times New Roman" w:eastAsia="Times New Roman" w:hAnsi="Times New Roman" w:cs="Times New Roman"/>
        </w:rPr>
        <w:t xml:space="preserve">executing a trade as it will be penalized by the high impact cost. </w:t>
      </w:r>
    </w:p>
    <w:p w14:paraId="4C2CCDF6" w14:textId="77777777" w:rsidR="005D16CB" w:rsidRDefault="005D16CB" w:rsidP="005D16CB">
      <w:pPr>
        <w:pStyle w:val="ListParagraph"/>
        <w:rPr>
          <w:rFonts w:ascii="Times New Roman" w:eastAsia="Times New Roman" w:hAnsi="Times New Roman" w:cs="Times New Roman"/>
        </w:rPr>
      </w:pPr>
    </w:p>
    <w:p w14:paraId="72245538" w14:textId="1CCC0804" w:rsidR="005D16CB" w:rsidRPr="005D16CB" w:rsidRDefault="00A7707C" w:rsidP="005D16CB">
      <w:pPr>
        <w:rPr>
          <w:rFonts w:eastAsia="Times New Roman"/>
        </w:rPr>
      </w:pPr>
      <w:r>
        <w:rPr>
          <w:rFonts w:eastAsia="Times New Roman"/>
          <w:noProof/>
        </w:rPr>
        <w:drawing>
          <wp:inline distT="0" distB="0" distL="0" distR="0" wp14:anchorId="5A5C3155" wp14:editId="4D2F2A84">
            <wp:extent cx="5943600" cy="1711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pac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11960"/>
                    </a:xfrm>
                    <a:prstGeom prst="rect">
                      <a:avLst/>
                    </a:prstGeom>
                  </pic:spPr>
                </pic:pic>
              </a:graphicData>
            </a:graphic>
          </wp:inline>
        </w:drawing>
      </w:r>
    </w:p>
    <w:p w14:paraId="09596FE7" w14:textId="77777777" w:rsidR="005D16CB" w:rsidRDefault="005D16CB" w:rsidP="00BA0405">
      <w:pPr>
        <w:pStyle w:val="ListParagraph"/>
        <w:rPr>
          <w:rFonts w:ascii="Times New Roman" w:eastAsia="Times New Roman" w:hAnsi="Times New Roman" w:cs="Times New Roman"/>
        </w:rPr>
      </w:pPr>
    </w:p>
    <w:tbl>
      <w:tblPr>
        <w:tblStyle w:val="TableGrid"/>
        <w:tblW w:w="8642" w:type="dxa"/>
        <w:tblInd w:w="904" w:type="dxa"/>
        <w:tblLook w:val="04A0" w:firstRow="1" w:lastRow="0" w:firstColumn="1" w:lastColumn="0" w:noHBand="0" w:noVBand="1"/>
      </w:tblPr>
      <w:tblGrid>
        <w:gridCol w:w="3116"/>
        <w:gridCol w:w="2556"/>
        <w:gridCol w:w="2970"/>
      </w:tblGrid>
      <w:tr w:rsidR="00A7707C" w14:paraId="7CE0789F" w14:textId="35B84ACE" w:rsidTr="00A7707C">
        <w:tc>
          <w:tcPr>
            <w:tcW w:w="3116" w:type="dxa"/>
          </w:tcPr>
          <w:p w14:paraId="3F1250BC" w14:textId="00265903" w:rsidR="00A7707C" w:rsidRDefault="00A7707C" w:rsidP="005D16CB">
            <w:pPr>
              <w:jc w:val="center"/>
              <w:rPr>
                <w:rFonts w:eastAsia="Times New Roman"/>
              </w:rPr>
            </w:pPr>
            <w:r w:rsidRPr="005D16CB">
              <w:rPr>
                <w:rFonts w:eastAsia="Times New Roman"/>
                <w:sz w:val="20"/>
                <w:szCs w:val="20"/>
              </w:rPr>
              <w:t>Impact</w:t>
            </w:r>
          </w:p>
        </w:tc>
        <w:tc>
          <w:tcPr>
            <w:tcW w:w="2556" w:type="dxa"/>
          </w:tcPr>
          <w:p w14:paraId="3CB000B5" w14:textId="788BC1F7" w:rsidR="00A7707C" w:rsidRDefault="00A7707C" w:rsidP="00757127">
            <w:pPr>
              <w:jc w:val="center"/>
              <w:rPr>
                <w:rFonts w:eastAsia="Times New Roman"/>
              </w:rPr>
            </w:pPr>
            <w:r w:rsidRPr="00FA7084">
              <w:rPr>
                <w:rFonts w:eastAsia="Times New Roman"/>
                <w:sz w:val="20"/>
                <w:szCs w:val="20"/>
              </w:rPr>
              <w:t>Cumulative Return</w:t>
            </w:r>
          </w:p>
        </w:tc>
        <w:tc>
          <w:tcPr>
            <w:tcW w:w="2970" w:type="dxa"/>
          </w:tcPr>
          <w:p w14:paraId="7A1A93DA" w14:textId="65657333" w:rsidR="00A7707C" w:rsidRDefault="00A7707C" w:rsidP="00A7707C">
            <w:pPr>
              <w:jc w:val="center"/>
              <w:rPr>
                <w:rFonts w:eastAsia="Times New Roman"/>
              </w:rPr>
            </w:pPr>
            <w:r>
              <w:rPr>
                <w:rFonts w:eastAsia="Times New Roman"/>
              </w:rPr>
              <w:t># of Trade</w:t>
            </w:r>
          </w:p>
        </w:tc>
      </w:tr>
      <w:tr w:rsidR="00A7707C" w14:paraId="6A8EC945" w14:textId="47227AB3" w:rsidTr="00A7707C">
        <w:tc>
          <w:tcPr>
            <w:tcW w:w="3116" w:type="dxa"/>
          </w:tcPr>
          <w:p w14:paraId="4A80684B" w14:textId="743C9023" w:rsidR="00A7707C" w:rsidRPr="00FA7084" w:rsidRDefault="00A7707C" w:rsidP="00757127">
            <w:pPr>
              <w:jc w:val="center"/>
              <w:rPr>
                <w:rFonts w:eastAsia="Times New Roman"/>
                <w:sz w:val="20"/>
                <w:szCs w:val="20"/>
              </w:rPr>
            </w:pPr>
            <w:r>
              <w:rPr>
                <w:rFonts w:eastAsia="Times New Roman"/>
                <w:sz w:val="20"/>
                <w:szCs w:val="20"/>
              </w:rPr>
              <w:t>0</w:t>
            </w:r>
          </w:p>
        </w:tc>
        <w:tc>
          <w:tcPr>
            <w:tcW w:w="2556" w:type="dxa"/>
          </w:tcPr>
          <w:p w14:paraId="3B2DDAE4" w14:textId="64784EC2" w:rsidR="00A7707C" w:rsidRDefault="00A7707C" w:rsidP="001C6C7E">
            <w:pPr>
              <w:jc w:val="center"/>
              <w:rPr>
                <w:rFonts w:eastAsia="Times New Roman"/>
              </w:rPr>
            </w:pPr>
            <w:r>
              <w:rPr>
                <w:rFonts w:eastAsia="Times New Roman"/>
              </w:rPr>
              <w:t>193.66%</w:t>
            </w:r>
          </w:p>
        </w:tc>
        <w:tc>
          <w:tcPr>
            <w:tcW w:w="2970" w:type="dxa"/>
          </w:tcPr>
          <w:p w14:paraId="10C9F02F" w14:textId="0001515C" w:rsidR="00A7707C" w:rsidRDefault="00A7707C" w:rsidP="00A7707C">
            <w:pPr>
              <w:jc w:val="center"/>
              <w:rPr>
                <w:rFonts w:eastAsia="Times New Roman"/>
              </w:rPr>
            </w:pPr>
            <w:r>
              <w:rPr>
                <w:rFonts w:eastAsia="Times New Roman"/>
              </w:rPr>
              <w:t>66</w:t>
            </w:r>
          </w:p>
        </w:tc>
      </w:tr>
      <w:tr w:rsidR="00A7707C" w14:paraId="3A73BFD3" w14:textId="6A20B6F0" w:rsidTr="00A7707C">
        <w:trPr>
          <w:trHeight w:val="72"/>
        </w:trPr>
        <w:tc>
          <w:tcPr>
            <w:tcW w:w="3116" w:type="dxa"/>
          </w:tcPr>
          <w:p w14:paraId="02CC3BAE" w14:textId="527290CA" w:rsidR="00A7707C" w:rsidRPr="00FA7084" w:rsidRDefault="00A7707C" w:rsidP="00757127">
            <w:pPr>
              <w:jc w:val="center"/>
              <w:rPr>
                <w:rFonts w:eastAsia="Times New Roman"/>
                <w:sz w:val="20"/>
                <w:szCs w:val="20"/>
              </w:rPr>
            </w:pPr>
            <w:r>
              <w:rPr>
                <w:rFonts w:eastAsia="Times New Roman"/>
                <w:sz w:val="20"/>
                <w:szCs w:val="20"/>
              </w:rPr>
              <w:t>0.5%</w:t>
            </w:r>
          </w:p>
        </w:tc>
        <w:tc>
          <w:tcPr>
            <w:tcW w:w="2556" w:type="dxa"/>
          </w:tcPr>
          <w:p w14:paraId="701A2CFE" w14:textId="1CB99D4F" w:rsidR="00A7707C" w:rsidRDefault="00A7707C" w:rsidP="001C6C7E">
            <w:pPr>
              <w:jc w:val="center"/>
              <w:rPr>
                <w:rFonts w:eastAsia="Times New Roman"/>
              </w:rPr>
            </w:pPr>
            <w:r>
              <w:rPr>
                <w:rFonts w:eastAsia="Times New Roman"/>
              </w:rPr>
              <w:t>192.94%</w:t>
            </w:r>
          </w:p>
        </w:tc>
        <w:tc>
          <w:tcPr>
            <w:tcW w:w="2970" w:type="dxa"/>
          </w:tcPr>
          <w:p w14:paraId="04170D87" w14:textId="4D9AE421" w:rsidR="00A7707C" w:rsidRDefault="00A7707C" w:rsidP="00A7707C">
            <w:pPr>
              <w:jc w:val="center"/>
              <w:rPr>
                <w:rFonts w:eastAsia="Times New Roman"/>
              </w:rPr>
            </w:pPr>
            <w:r>
              <w:rPr>
                <w:rFonts w:eastAsia="Times New Roman"/>
              </w:rPr>
              <w:t>65</w:t>
            </w:r>
          </w:p>
        </w:tc>
      </w:tr>
      <w:tr w:rsidR="00A7707C" w14:paraId="28623A29" w14:textId="5676C168" w:rsidTr="00A7707C">
        <w:trPr>
          <w:trHeight w:val="144"/>
        </w:trPr>
        <w:tc>
          <w:tcPr>
            <w:tcW w:w="3116" w:type="dxa"/>
          </w:tcPr>
          <w:p w14:paraId="39E58A9F" w14:textId="10297BD0" w:rsidR="00A7707C" w:rsidRPr="00FA7084" w:rsidRDefault="00A7707C" w:rsidP="00757127">
            <w:pPr>
              <w:jc w:val="center"/>
              <w:rPr>
                <w:rFonts w:eastAsia="Times New Roman"/>
                <w:sz w:val="20"/>
                <w:szCs w:val="20"/>
              </w:rPr>
            </w:pPr>
            <w:r>
              <w:rPr>
                <w:rFonts w:eastAsia="Times New Roman"/>
                <w:sz w:val="20"/>
                <w:szCs w:val="20"/>
              </w:rPr>
              <w:t>1%</w:t>
            </w:r>
          </w:p>
        </w:tc>
        <w:tc>
          <w:tcPr>
            <w:tcW w:w="2556" w:type="dxa"/>
          </w:tcPr>
          <w:p w14:paraId="3603C7CF" w14:textId="17D4AB74" w:rsidR="00A7707C" w:rsidRDefault="00A7707C" w:rsidP="001C6C7E">
            <w:pPr>
              <w:jc w:val="center"/>
              <w:rPr>
                <w:rFonts w:eastAsia="Times New Roman"/>
              </w:rPr>
            </w:pPr>
            <w:r>
              <w:rPr>
                <w:rFonts w:eastAsia="Times New Roman"/>
              </w:rPr>
              <w:t>136.05%</w:t>
            </w:r>
          </w:p>
        </w:tc>
        <w:tc>
          <w:tcPr>
            <w:tcW w:w="2970" w:type="dxa"/>
          </w:tcPr>
          <w:p w14:paraId="24E68ECC" w14:textId="4A2E9830" w:rsidR="00A7707C" w:rsidRDefault="00A7707C" w:rsidP="00A7707C">
            <w:pPr>
              <w:jc w:val="center"/>
              <w:rPr>
                <w:rFonts w:eastAsia="Times New Roman"/>
              </w:rPr>
            </w:pPr>
            <w:r>
              <w:rPr>
                <w:rFonts w:eastAsia="Times New Roman"/>
              </w:rPr>
              <w:t>63</w:t>
            </w:r>
          </w:p>
        </w:tc>
      </w:tr>
      <w:tr w:rsidR="00A7707C" w14:paraId="23AB0DC9" w14:textId="7CB87C7D" w:rsidTr="00A7707C">
        <w:trPr>
          <w:trHeight w:val="120"/>
        </w:trPr>
        <w:tc>
          <w:tcPr>
            <w:tcW w:w="3116" w:type="dxa"/>
          </w:tcPr>
          <w:p w14:paraId="42E6A3EE" w14:textId="227F99A7" w:rsidR="00A7707C" w:rsidRPr="00FA7084" w:rsidRDefault="00A7707C" w:rsidP="00757127">
            <w:pPr>
              <w:jc w:val="center"/>
              <w:rPr>
                <w:rFonts w:eastAsia="Times New Roman"/>
                <w:sz w:val="20"/>
                <w:szCs w:val="20"/>
              </w:rPr>
            </w:pPr>
            <w:r>
              <w:rPr>
                <w:rFonts w:eastAsia="Times New Roman"/>
                <w:sz w:val="20"/>
                <w:szCs w:val="20"/>
              </w:rPr>
              <w:t>3%</w:t>
            </w:r>
          </w:p>
        </w:tc>
        <w:tc>
          <w:tcPr>
            <w:tcW w:w="2556" w:type="dxa"/>
          </w:tcPr>
          <w:p w14:paraId="252BB6E2" w14:textId="54C24D1E" w:rsidR="00A7707C" w:rsidRDefault="00A7707C" w:rsidP="001C6C7E">
            <w:pPr>
              <w:jc w:val="center"/>
              <w:rPr>
                <w:rFonts w:eastAsia="Times New Roman"/>
              </w:rPr>
            </w:pPr>
            <w:r>
              <w:rPr>
                <w:rFonts w:eastAsia="Times New Roman"/>
              </w:rPr>
              <w:t>87.67%</w:t>
            </w:r>
          </w:p>
        </w:tc>
        <w:tc>
          <w:tcPr>
            <w:tcW w:w="2970" w:type="dxa"/>
          </w:tcPr>
          <w:p w14:paraId="4C8CB840" w14:textId="789134BD" w:rsidR="00A7707C" w:rsidRDefault="00A7707C" w:rsidP="00A7707C">
            <w:pPr>
              <w:jc w:val="center"/>
              <w:rPr>
                <w:rFonts w:eastAsia="Times New Roman"/>
              </w:rPr>
            </w:pPr>
            <w:r>
              <w:rPr>
                <w:rFonts w:eastAsia="Times New Roman"/>
              </w:rPr>
              <w:t>45</w:t>
            </w:r>
          </w:p>
        </w:tc>
      </w:tr>
      <w:tr w:rsidR="00A7707C" w14:paraId="0CEACC47" w14:textId="3B5C2845" w:rsidTr="00A7707C">
        <w:trPr>
          <w:trHeight w:val="297"/>
        </w:trPr>
        <w:tc>
          <w:tcPr>
            <w:tcW w:w="3116" w:type="dxa"/>
          </w:tcPr>
          <w:p w14:paraId="22A08A22" w14:textId="14367343" w:rsidR="00A7707C" w:rsidRPr="00FA7084" w:rsidRDefault="00A7707C" w:rsidP="00757127">
            <w:pPr>
              <w:jc w:val="center"/>
              <w:rPr>
                <w:rFonts w:eastAsia="Times New Roman"/>
                <w:sz w:val="20"/>
                <w:szCs w:val="20"/>
              </w:rPr>
            </w:pPr>
            <w:r>
              <w:rPr>
                <w:rFonts w:eastAsia="Times New Roman"/>
                <w:sz w:val="20"/>
                <w:szCs w:val="20"/>
              </w:rPr>
              <w:t>5%</w:t>
            </w:r>
          </w:p>
        </w:tc>
        <w:tc>
          <w:tcPr>
            <w:tcW w:w="2556" w:type="dxa"/>
          </w:tcPr>
          <w:p w14:paraId="03DFFE51" w14:textId="3D1558C8" w:rsidR="00A7707C" w:rsidRDefault="00A7707C" w:rsidP="001C6C7E">
            <w:pPr>
              <w:jc w:val="center"/>
              <w:rPr>
                <w:rFonts w:eastAsia="Times New Roman"/>
              </w:rPr>
            </w:pPr>
            <w:r>
              <w:rPr>
                <w:rFonts w:eastAsia="Times New Roman"/>
              </w:rPr>
              <w:t>62.16%</w:t>
            </w:r>
          </w:p>
        </w:tc>
        <w:tc>
          <w:tcPr>
            <w:tcW w:w="2970" w:type="dxa"/>
          </w:tcPr>
          <w:p w14:paraId="5981BCCD" w14:textId="75A1258D" w:rsidR="00A7707C" w:rsidRDefault="00A7707C" w:rsidP="00A7707C">
            <w:pPr>
              <w:jc w:val="center"/>
              <w:rPr>
                <w:rFonts w:eastAsia="Times New Roman"/>
              </w:rPr>
            </w:pPr>
            <w:r>
              <w:rPr>
                <w:rFonts w:eastAsia="Times New Roman"/>
              </w:rPr>
              <w:t>22</w:t>
            </w:r>
          </w:p>
        </w:tc>
      </w:tr>
      <w:tr w:rsidR="00A7707C" w14:paraId="791DB019" w14:textId="48B41AEC" w:rsidTr="00A7707C">
        <w:trPr>
          <w:trHeight w:val="120"/>
        </w:trPr>
        <w:tc>
          <w:tcPr>
            <w:tcW w:w="3116" w:type="dxa"/>
          </w:tcPr>
          <w:p w14:paraId="1222C691" w14:textId="07F091C8" w:rsidR="00A7707C" w:rsidRPr="00FA7084" w:rsidRDefault="00A7707C" w:rsidP="00757127">
            <w:pPr>
              <w:jc w:val="center"/>
              <w:rPr>
                <w:rFonts w:eastAsia="Times New Roman"/>
                <w:sz w:val="20"/>
                <w:szCs w:val="20"/>
              </w:rPr>
            </w:pPr>
            <w:r>
              <w:rPr>
                <w:rFonts w:eastAsia="Times New Roman"/>
                <w:sz w:val="20"/>
                <w:szCs w:val="20"/>
              </w:rPr>
              <w:t>7%</w:t>
            </w:r>
          </w:p>
        </w:tc>
        <w:tc>
          <w:tcPr>
            <w:tcW w:w="2556" w:type="dxa"/>
          </w:tcPr>
          <w:p w14:paraId="5B2870FB" w14:textId="04235D49" w:rsidR="00A7707C" w:rsidRDefault="00A7707C" w:rsidP="001C6C7E">
            <w:pPr>
              <w:jc w:val="center"/>
              <w:rPr>
                <w:rFonts w:eastAsia="Times New Roman"/>
              </w:rPr>
            </w:pPr>
            <w:r>
              <w:rPr>
                <w:rFonts w:eastAsia="Times New Roman"/>
              </w:rPr>
              <w:t>26.86%</w:t>
            </w:r>
          </w:p>
        </w:tc>
        <w:tc>
          <w:tcPr>
            <w:tcW w:w="2970" w:type="dxa"/>
          </w:tcPr>
          <w:p w14:paraId="40799EEF" w14:textId="422A8BD5" w:rsidR="00A7707C" w:rsidRDefault="00A7707C" w:rsidP="001C6C7E">
            <w:pPr>
              <w:jc w:val="center"/>
              <w:rPr>
                <w:rFonts w:eastAsia="Times New Roman"/>
              </w:rPr>
            </w:pPr>
            <w:r>
              <w:rPr>
                <w:rFonts w:eastAsia="Times New Roman"/>
              </w:rPr>
              <w:t>8</w:t>
            </w:r>
          </w:p>
        </w:tc>
      </w:tr>
      <w:tr w:rsidR="00A7707C" w14:paraId="428D5251" w14:textId="52B6D7D7" w:rsidTr="00A7707C">
        <w:tc>
          <w:tcPr>
            <w:tcW w:w="3116" w:type="dxa"/>
            <w:tcBorders>
              <w:bottom w:val="single" w:sz="4" w:space="0" w:color="auto"/>
            </w:tcBorders>
          </w:tcPr>
          <w:p w14:paraId="0592C8B0" w14:textId="3315613A" w:rsidR="00A7707C" w:rsidRPr="00FA7084" w:rsidRDefault="00A7707C" w:rsidP="00757127">
            <w:pPr>
              <w:jc w:val="center"/>
              <w:rPr>
                <w:rFonts w:eastAsia="Times New Roman"/>
                <w:sz w:val="20"/>
                <w:szCs w:val="20"/>
              </w:rPr>
            </w:pPr>
            <w:r>
              <w:rPr>
                <w:rFonts w:eastAsia="Times New Roman"/>
                <w:sz w:val="20"/>
                <w:szCs w:val="20"/>
              </w:rPr>
              <w:t>10%</w:t>
            </w:r>
          </w:p>
        </w:tc>
        <w:tc>
          <w:tcPr>
            <w:tcW w:w="2556" w:type="dxa"/>
            <w:tcBorders>
              <w:bottom w:val="single" w:sz="4" w:space="0" w:color="auto"/>
            </w:tcBorders>
          </w:tcPr>
          <w:p w14:paraId="6B29C2E7" w14:textId="341D5C29" w:rsidR="00A7707C" w:rsidRDefault="00A7707C" w:rsidP="001C6C7E">
            <w:pPr>
              <w:jc w:val="center"/>
              <w:rPr>
                <w:rFonts w:eastAsia="Times New Roman"/>
              </w:rPr>
            </w:pPr>
            <w:r>
              <w:rPr>
                <w:rFonts w:eastAsia="Times New Roman"/>
              </w:rPr>
              <w:t>14.62%</w:t>
            </w:r>
          </w:p>
        </w:tc>
        <w:tc>
          <w:tcPr>
            <w:tcW w:w="2970" w:type="dxa"/>
            <w:tcBorders>
              <w:bottom w:val="single" w:sz="4" w:space="0" w:color="auto"/>
            </w:tcBorders>
          </w:tcPr>
          <w:p w14:paraId="4B8338B5" w14:textId="75433CB9" w:rsidR="00A7707C" w:rsidRDefault="00A7707C" w:rsidP="00A7707C">
            <w:pPr>
              <w:jc w:val="center"/>
              <w:rPr>
                <w:rFonts w:eastAsia="Times New Roman"/>
              </w:rPr>
            </w:pPr>
            <w:r>
              <w:rPr>
                <w:rFonts w:eastAsia="Times New Roman"/>
              </w:rPr>
              <w:t>4</w:t>
            </w:r>
          </w:p>
        </w:tc>
      </w:tr>
    </w:tbl>
    <w:p w14:paraId="1766D2DD" w14:textId="217E29E3" w:rsidR="005B3687" w:rsidRDefault="005B3687" w:rsidP="005B3687">
      <w:pPr>
        <w:pStyle w:val="ListParagraph"/>
        <w:rPr>
          <w:rFonts w:ascii="Times New Roman" w:eastAsia="Times New Roman" w:hAnsi="Times New Roman" w:cs="Times New Roman"/>
        </w:rPr>
      </w:pPr>
    </w:p>
    <w:p w14:paraId="797EC6A6" w14:textId="7B4917EC" w:rsidR="00451FC4" w:rsidRPr="00A7707C" w:rsidRDefault="00451FC4" w:rsidP="00A7707C">
      <w:pPr>
        <w:rPr>
          <w:rFonts w:eastAsia="Times New Roman"/>
        </w:rPr>
      </w:pPr>
    </w:p>
    <w:p w14:paraId="5C9270BC" w14:textId="77777777" w:rsidR="008341E0" w:rsidRPr="008341E0" w:rsidRDefault="008341E0" w:rsidP="008341E0">
      <w:pPr>
        <w:rPr>
          <w:rFonts w:eastAsia="Times New Roman"/>
        </w:rPr>
      </w:pPr>
    </w:p>
    <w:p w14:paraId="78FBB589" w14:textId="77777777" w:rsidR="00E5597E" w:rsidRPr="00E5597E" w:rsidRDefault="00E5597E" w:rsidP="00E5597E">
      <w:pPr>
        <w:rPr>
          <w:rFonts w:eastAsia="Times New Roman"/>
        </w:rPr>
      </w:pPr>
      <w:bookmarkStart w:id="0" w:name="_GoBack"/>
      <w:bookmarkEnd w:id="0"/>
    </w:p>
    <w:sectPr w:rsidR="00E5597E" w:rsidRPr="00E5597E" w:rsidSect="00EA6E38">
      <w:pgSz w:w="12240" w:h="15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CA3EB5" w14:textId="77777777" w:rsidR="003872D3" w:rsidRDefault="003872D3" w:rsidP="005B3687">
      <w:r>
        <w:separator/>
      </w:r>
    </w:p>
  </w:endnote>
  <w:endnote w:type="continuationSeparator" w:id="0">
    <w:p w14:paraId="20EBEF91" w14:textId="77777777" w:rsidR="003872D3" w:rsidRDefault="003872D3" w:rsidP="005B3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B1733C" w14:textId="77777777" w:rsidR="003872D3" w:rsidRDefault="003872D3" w:rsidP="005B3687">
      <w:r>
        <w:separator/>
      </w:r>
    </w:p>
  </w:footnote>
  <w:footnote w:type="continuationSeparator" w:id="0">
    <w:p w14:paraId="7E359981" w14:textId="77777777" w:rsidR="003872D3" w:rsidRDefault="003872D3" w:rsidP="005B368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23169"/>
    <w:multiLevelType w:val="hybridMultilevel"/>
    <w:tmpl w:val="1A4AEB3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C475417"/>
    <w:multiLevelType w:val="hybridMultilevel"/>
    <w:tmpl w:val="7FB6C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BF468B"/>
    <w:multiLevelType w:val="hybridMultilevel"/>
    <w:tmpl w:val="F1FAAB0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37364176"/>
    <w:multiLevelType w:val="hybridMultilevel"/>
    <w:tmpl w:val="FC829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71F5A2F"/>
    <w:multiLevelType w:val="hybridMultilevel"/>
    <w:tmpl w:val="30521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B03559"/>
    <w:multiLevelType w:val="hybridMultilevel"/>
    <w:tmpl w:val="BD0C11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0D86FAF"/>
    <w:multiLevelType w:val="hybridMultilevel"/>
    <w:tmpl w:val="9BC2E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D22119"/>
    <w:multiLevelType w:val="hybridMultilevel"/>
    <w:tmpl w:val="1A4AEB3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B7C0841"/>
    <w:multiLevelType w:val="hybridMultilevel"/>
    <w:tmpl w:val="A7B093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0"/>
  </w:num>
  <w:num w:numId="4">
    <w:abstractNumId w:val="3"/>
  </w:num>
  <w:num w:numId="5">
    <w:abstractNumId w:val="2"/>
  </w:num>
  <w:num w:numId="6">
    <w:abstractNumId w:val="6"/>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1E0"/>
    <w:rsid w:val="000238CD"/>
    <w:rsid w:val="0006619C"/>
    <w:rsid w:val="0007092D"/>
    <w:rsid w:val="00076EA9"/>
    <w:rsid w:val="000A667E"/>
    <w:rsid w:val="000C05B7"/>
    <w:rsid w:val="000D5593"/>
    <w:rsid w:val="000F24FE"/>
    <w:rsid w:val="001124DB"/>
    <w:rsid w:val="001B2A5D"/>
    <w:rsid w:val="001C6C7E"/>
    <w:rsid w:val="001F7D95"/>
    <w:rsid w:val="0020683C"/>
    <w:rsid w:val="00224827"/>
    <w:rsid w:val="002264F7"/>
    <w:rsid w:val="002359AE"/>
    <w:rsid w:val="00244077"/>
    <w:rsid w:val="0024735A"/>
    <w:rsid w:val="00272628"/>
    <w:rsid w:val="002774F0"/>
    <w:rsid w:val="00282A71"/>
    <w:rsid w:val="00295C19"/>
    <w:rsid w:val="002E74DA"/>
    <w:rsid w:val="00313815"/>
    <w:rsid w:val="00336F8F"/>
    <w:rsid w:val="003408FB"/>
    <w:rsid w:val="00347F60"/>
    <w:rsid w:val="00365993"/>
    <w:rsid w:val="003872D3"/>
    <w:rsid w:val="003B7CA6"/>
    <w:rsid w:val="003D04F8"/>
    <w:rsid w:val="00425F09"/>
    <w:rsid w:val="00435FA8"/>
    <w:rsid w:val="00451FC4"/>
    <w:rsid w:val="0049009C"/>
    <w:rsid w:val="004B2C7D"/>
    <w:rsid w:val="004D2F78"/>
    <w:rsid w:val="004E0CEA"/>
    <w:rsid w:val="00502904"/>
    <w:rsid w:val="0050650B"/>
    <w:rsid w:val="00527433"/>
    <w:rsid w:val="00551A07"/>
    <w:rsid w:val="00554BC5"/>
    <w:rsid w:val="005576F0"/>
    <w:rsid w:val="005603A2"/>
    <w:rsid w:val="00562659"/>
    <w:rsid w:val="005B3687"/>
    <w:rsid w:val="005D16CB"/>
    <w:rsid w:val="00673D29"/>
    <w:rsid w:val="006C7E69"/>
    <w:rsid w:val="006E4811"/>
    <w:rsid w:val="007B5B3D"/>
    <w:rsid w:val="007E3F1A"/>
    <w:rsid w:val="00805047"/>
    <w:rsid w:val="008176F2"/>
    <w:rsid w:val="008341E0"/>
    <w:rsid w:val="00843653"/>
    <w:rsid w:val="00844D9C"/>
    <w:rsid w:val="00865E30"/>
    <w:rsid w:val="00881F43"/>
    <w:rsid w:val="00894DD4"/>
    <w:rsid w:val="00896F1C"/>
    <w:rsid w:val="008A5C54"/>
    <w:rsid w:val="008A6CCF"/>
    <w:rsid w:val="008E59ED"/>
    <w:rsid w:val="00905470"/>
    <w:rsid w:val="00983FB3"/>
    <w:rsid w:val="009A29B3"/>
    <w:rsid w:val="009C6D43"/>
    <w:rsid w:val="009D0483"/>
    <w:rsid w:val="00A15CEC"/>
    <w:rsid w:val="00A2549A"/>
    <w:rsid w:val="00A63240"/>
    <w:rsid w:val="00A652E2"/>
    <w:rsid w:val="00A7707C"/>
    <w:rsid w:val="00A87B53"/>
    <w:rsid w:val="00A91AD9"/>
    <w:rsid w:val="00AA634E"/>
    <w:rsid w:val="00AC3FB1"/>
    <w:rsid w:val="00AF2AE7"/>
    <w:rsid w:val="00B05D6A"/>
    <w:rsid w:val="00B24EA5"/>
    <w:rsid w:val="00B37DAC"/>
    <w:rsid w:val="00B67B08"/>
    <w:rsid w:val="00B72CD8"/>
    <w:rsid w:val="00B956F7"/>
    <w:rsid w:val="00BA0405"/>
    <w:rsid w:val="00BA5B4A"/>
    <w:rsid w:val="00BC1FEA"/>
    <w:rsid w:val="00BE093D"/>
    <w:rsid w:val="00C0255E"/>
    <w:rsid w:val="00C146F6"/>
    <w:rsid w:val="00C26062"/>
    <w:rsid w:val="00C43D10"/>
    <w:rsid w:val="00C62D2F"/>
    <w:rsid w:val="00CA2452"/>
    <w:rsid w:val="00D44182"/>
    <w:rsid w:val="00D5134C"/>
    <w:rsid w:val="00D55F4C"/>
    <w:rsid w:val="00D82062"/>
    <w:rsid w:val="00DC4892"/>
    <w:rsid w:val="00DE130A"/>
    <w:rsid w:val="00E060D2"/>
    <w:rsid w:val="00E1650F"/>
    <w:rsid w:val="00E25ECE"/>
    <w:rsid w:val="00E32E1B"/>
    <w:rsid w:val="00E5597E"/>
    <w:rsid w:val="00E61175"/>
    <w:rsid w:val="00E732F2"/>
    <w:rsid w:val="00E773EE"/>
    <w:rsid w:val="00E87DED"/>
    <w:rsid w:val="00E96C8F"/>
    <w:rsid w:val="00EA6E38"/>
    <w:rsid w:val="00ED480A"/>
    <w:rsid w:val="00F02B7E"/>
    <w:rsid w:val="00F05673"/>
    <w:rsid w:val="00F34FF2"/>
    <w:rsid w:val="00F57C2D"/>
    <w:rsid w:val="00F65CF8"/>
    <w:rsid w:val="00F73513"/>
    <w:rsid w:val="00F81212"/>
    <w:rsid w:val="00F93E4C"/>
    <w:rsid w:val="00F97512"/>
    <w:rsid w:val="00FA7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CCE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59ED"/>
    <w:rPr>
      <w:rFonts w:ascii="Times New Roman" w:hAnsi="Times New Roman" w:cs="Times New Roman"/>
    </w:rPr>
  </w:style>
  <w:style w:type="paragraph" w:styleId="Heading2">
    <w:name w:val="heading 2"/>
    <w:basedOn w:val="Normal"/>
    <w:next w:val="Normal"/>
    <w:link w:val="Heading2Char"/>
    <w:uiPriority w:val="9"/>
    <w:unhideWhenUsed/>
    <w:qFormat/>
    <w:rsid w:val="00F57C2D"/>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5B7"/>
    <w:pPr>
      <w:ind w:left="720"/>
      <w:contextualSpacing/>
    </w:pPr>
    <w:rPr>
      <w:rFonts w:asciiTheme="minorHAnsi" w:hAnsiTheme="minorHAnsi" w:cstheme="minorBidi"/>
    </w:rPr>
  </w:style>
  <w:style w:type="character" w:styleId="PlaceholderText">
    <w:name w:val="Placeholder Text"/>
    <w:basedOn w:val="DefaultParagraphFont"/>
    <w:uiPriority w:val="99"/>
    <w:semiHidden/>
    <w:rsid w:val="00B05D6A"/>
    <w:rPr>
      <w:color w:val="808080"/>
    </w:rPr>
  </w:style>
  <w:style w:type="character" w:customStyle="1" w:styleId="apple-converted-space">
    <w:name w:val="apple-converted-space"/>
    <w:basedOn w:val="DefaultParagraphFont"/>
    <w:rsid w:val="00E5597E"/>
  </w:style>
  <w:style w:type="character" w:styleId="Hyperlink">
    <w:name w:val="Hyperlink"/>
    <w:basedOn w:val="DefaultParagraphFont"/>
    <w:uiPriority w:val="99"/>
    <w:semiHidden/>
    <w:unhideWhenUsed/>
    <w:rsid w:val="00E5597E"/>
    <w:rPr>
      <w:color w:val="0000FF"/>
      <w:u w:val="single"/>
    </w:rPr>
  </w:style>
  <w:style w:type="character" w:styleId="FollowedHyperlink">
    <w:name w:val="FollowedHyperlink"/>
    <w:basedOn w:val="DefaultParagraphFont"/>
    <w:uiPriority w:val="99"/>
    <w:semiHidden/>
    <w:unhideWhenUsed/>
    <w:rsid w:val="00A2549A"/>
    <w:rPr>
      <w:color w:val="954F72" w:themeColor="followedHyperlink"/>
      <w:u w:val="single"/>
    </w:rPr>
  </w:style>
  <w:style w:type="table" w:styleId="TableGrid">
    <w:name w:val="Table Grid"/>
    <w:basedOn w:val="TableNormal"/>
    <w:uiPriority w:val="39"/>
    <w:rsid w:val="004D2F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5B3687"/>
  </w:style>
  <w:style w:type="character" w:customStyle="1" w:styleId="FootnoteTextChar">
    <w:name w:val="Footnote Text Char"/>
    <w:basedOn w:val="DefaultParagraphFont"/>
    <w:link w:val="FootnoteText"/>
    <w:uiPriority w:val="99"/>
    <w:rsid w:val="005B3687"/>
    <w:rPr>
      <w:rFonts w:ascii="Times New Roman" w:hAnsi="Times New Roman" w:cs="Times New Roman"/>
    </w:rPr>
  </w:style>
  <w:style w:type="character" w:styleId="FootnoteReference">
    <w:name w:val="footnote reference"/>
    <w:basedOn w:val="DefaultParagraphFont"/>
    <w:uiPriority w:val="99"/>
    <w:unhideWhenUsed/>
    <w:rsid w:val="005B3687"/>
    <w:rPr>
      <w:vertAlign w:val="superscript"/>
    </w:rPr>
  </w:style>
  <w:style w:type="character" w:customStyle="1" w:styleId="Heading2Char">
    <w:name w:val="Heading 2 Char"/>
    <w:basedOn w:val="DefaultParagraphFont"/>
    <w:link w:val="Heading2"/>
    <w:uiPriority w:val="9"/>
    <w:rsid w:val="00F57C2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30569">
      <w:bodyDiv w:val="1"/>
      <w:marLeft w:val="0"/>
      <w:marRight w:val="0"/>
      <w:marTop w:val="0"/>
      <w:marBottom w:val="0"/>
      <w:divBdr>
        <w:top w:val="none" w:sz="0" w:space="0" w:color="auto"/>
        <w:left w:val="none" w:sz="0" w:space="0" w:color="auto"/>
        <w:bottom w:val="none" w:sz="0" w:space="0" w:color="auto"/>
        <w:right w:val="none" w:sz="0" w:space="0" w:color="auto"/>
      </w:divBdr>
    </w:div>
    <w:div w:id="190849392">
      <w:bodyDiv w:val="1"/>
      <w:marLeft w:val="0"/>
      <w:marRight w:val="0"/>
      <w:marTop w:val="0"/>
      <w:marBottom w:val="0"/>
      <w:divBdr>
        <w:top w:val="none" w:sz="0" w:space="0" w:color="auto"/>
        <w:left w:val="none" w:sz="0" w:space="0" w:color="auto"/>
        <w:bottom w:val="none" w:sz="0" w:space="0" w:color="auto"/>
        <w:right w:val="none" w:sz="0" w:space="0" w:color="auto"/>
      </w:divBdr>
    </w:div>
    <w:div w:id="674919466">
      <w:bodyDiv w:val="1"/>
      <w:marLeft w:val="0"/>
      <w:marRight w:val="0"/>
      <w:marTop w:val="0"/>
      <w:marBottom w:val="0"/>
      <w:divBdr>
        <w:top w:val="none" w:sz="0" w:space="0" w:color="auto"/>
        <w:left w:val="none" w:sz="0" w:space="0" w:color="auto"/>
        <w:bottom w:val="none" w:sz="0" w:space="0" w:color="auto"/>
        <w:right w:val="none" w:sz="0" w:space="0" w:color="auto"/>
      </w:divBdr>
    </w:div>
    <w:div w:id="685399478">
      <w:bodyDiv w:val="1"/>
      <w:marLeft w:val="0"/>
      <w:marRight w:val="0"/>
      <w:marTop w:val="0"/>
      <w:marBottom w:val="0"/>
      <w:divBdr>
        <w:top w:val="none" w:sz="0" w:space="0" w:color="auto"/>
        <w:left w:val="none" w:sz="0" w:space="0" w:color="auto"/>
        <w:bottom w:val="none" w:sz="0" w:space="0" w:color="auto"/>
        <w:right w:val="none" w:sz="0" w:space="0" w:color="auto"/>
      </w:divBdr>
    </w:div>
    <w:div w:id="842858956">
      <w:bodyDiv w:val="1"/>
      <w:marLeft w:val="0"/>
      <w:marRight w:val="0"/>
      <w:marTop w:val="0"/>
      <w:marBottom w:val="0"/>
      <w:divBdr>
        <w:top w:val="none" w:sz="0" w:space="0" w:color="auto"/>
        <w:left w:val="none" w:sz="0" w:space="0" w:color="auto"/>
        <w:bottom w:val="none" w:sz="0" w:space="0" w:color="auto"/>
        <w:right w:val="none" w:sz="0" w:space="0" w:color="auto"/>
      </w:divBdr>
    </w:div>
    <w:div w:id="975834739">
      <w:bodyDiv w:val="1"/>
      <w:marLeft w:val="0"/>
      <w:marRight w:val="0"/>
      <w:marTop w:val="0"/>
      <w:marBottom w:val="0"/>
      <w:divBdr>
        <w:top w:val="none" w:sz="0" w:space="0" w:color="auto"/>
        <w:left w:val="none" w:sz="0" w:space="0" w:color="auto"/>
        <w:bottom w:val="none" w:sz="0" w:space="0" w:color="auto"/>
        <w:right w:val="none" w:sz="0" w:space="0" w:color="auto"/>
      </w:divBdr>
    </w:div>
    <w:div w:id="1080640984">
      <w:bodyDiv w:val="1"/>
      <w:marLeft w:val="0"/>
      <w:marRight w:val="0"/>
      <w:marTop w:val="0"/>
      <w:marBottom w:val="0"/>
      <w:divBdr>
        <w:top w:val="none" w:sz="0" w:space="0" w:color="auto"/>
        <w:left w:val="none" w:sz="0" w:space="0" w:color="auto"/>
        <w:bottom w:val="none" w:sz="0" w:space="0" w:color="auto"/>
        <w:right w:val="none" w:sz="0" w:space="0" w:color="auto"/>
      </w:divBdr>
    </w:div>
    <w:div w:id="1318457415">
      <w:bodyDiv w:val="1"/>
      <w:marLeft w:val="0"/>
      <w:marRight w:val="0"/>
      <w:marTop w:val="0"/>
      <w:marBottom w:val="0"/>
      <w:divBdr>
        <w:top w:val="none" w:sz="0" w:space="0" w:color="auto"/>
        <w:left w:val="none" w:sz="0" w:space="0" w:color="auto"/>
        <w:bottom w:val="none" w:sz="0" w:space="0" w:color="auto"/>
        <w:right w:val="none" w:sz="0" w:space="0" w:color="auto"/>
      </w:divBdr>
    </w:div>
    <w:div w:id="1649895110">
      <w:bodyDiv w:val="1"/>
      <w:marLeft w:val="0"/>
      <w:marRight w:val="0"/>
      <w:marTop w:val="0"/>
      <w:marBottom w:val="0"/>
      <w:divBdr>
        <w:top w:val="none" w:sz="0" w:space="0" w:color="auto"/>
        <w:left w:val="none" w:sz="0" w:space="0" w:color="auto"/>
        <w:bottom w:val="none" w:sz="0" w:space="0" w:color="auto"/>
        <w:right w:val="none" w:sz="0" w:space="0" w:color="auto"/>
      </w:divBdr>
    </w:div>
    <w:div w:id="1729063122">
      <w:bodyDiv w:val="1"/>
      <w:marLeft w:val="0"/>
      <w:marRight w:val="0"/>
      <w:marTop w:val="0"/>
      <w:marBottom w:val="0"/>
      <w:divBdr>
        <w:top w:val="none" w:sz="0" w:space="0" w:color="auto"/>
        <w:left w:val="none" w:sz="0" w:space="0" w:color="auto"/>
        <w:bottom w:val="none" w:sz="0" w:space="0" w:color="auto"/>
        <w:right w:val="none" w:sz="0" w:space="0" w:color="auto"/>
      </w:divBdr>
    </w:div>
    <w:div w:id="1967158439">
      <w:bodyDiv w:val="1"/>
      <w:marLeft w:val="0"/>
      <w:marRight w:val="0"/>
      <w:marTop w:val="0"/>
      <w:marBottom w:val="0"/>
      <w:divBdr>
        <w:top w:val="none" w:sz="0" w:space="0" w:color="auto"/>
        <w:left w:val="none" w:sz="0" w:space="0" w:color="auto"/>
        <w:bottom w:val="none" w:sz="0" w:space="0" w:color="auto"/>
        <w:right w:val="none" w:sz="0" w:space="0" w:color="auto"/>
      </w:divBdr>
    </w:div>
    <w:div w:id="20429736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D728DD0-85B0-9D4D-93CA-AA09BCEE4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1057</Words>
  <Characters>6026</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2018-04-24T03:53:00Z</dcterms:created>
  <dcterms:modified xsi:type="dcterms:W3CDTF">2018-04-24T03:53:00Z</dcterms:modified>
</cp:coreProperties>
</file>