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黑体"/>
          <w:b/>
          <w:color w:val="A03A1E"/>
          <w:sz w:val="23"/>
        </w:rPr>
        <w:t>利莫瑞克大学 × LICHPU　工业评估（15 ECTS）</w:t>
      </w:r>
    </w:p>
    <w:p>
      <w:pPr>
        <w:spacing w:after="240"/>
        <w:jc w:val="center"/>
      </w:pPr>
      <w:r>
        <w:rPr>
          <w:rFonts w:ascii="Times New Roman" w:hAnsi="Times New Roman" w:eastAsia="黑体"/>
          <w:b w:val="0"/>
          <w:color w:val="555B64"/>
          <w:sz w:val="22"/>
        </w:rPr>
        <w:t>智慧校园生活实验室 · 主题 8 智能设施与预测性维护</w:t>
      </w:r>
    </w:p>
    <w:p>
      <w:pPr>
        <w:spacing w:after="40"/>
        <w:jc w:val="center"/>
      </w:pPr>
      <w:r>
        <w:rPr>
          <w:rFonts w:ascii="Times New Roman" w:hAnsi="Times New Roman" w:eastAsia="黑体"/>
          <w:b/>
          <w:color w:val="1F3B63"/>
          <w:sz w:val="50"/>
        </w:rPr>
        <w:t>项目 8.1　振动状态监测器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color w:val="1F3B63"/>
          <w:sz w:val="26"/>
        </w:rPr>
        <w:t>Vibration Condition Monitor</w:t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color w:val="A03A1E"/>
          <w:sz w:val="26"/>
        </w:rPr>
        <w:t>项目提案与需求规格说明（评估组成 A）</w:t>
      </w:r>
    </w:p>
    <w:p>
      <w:pPr>
        <w:keepNext/>
        <w:spacing w:before="120" w:after="40"/>
        <w:jc w:val="center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181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9"/>
              </w:rPr>
              <w:t>项目</w:t>
            </w:r>
          </w:p>
        </w:tc>
        <w:tc>
          <w:tcPr>
            <w:tcW w:type="dxa" w:w="725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项目编号 / 名称</w:t>
            </w:r>
          </w:p>
        </w:tc>
        <w:tc>
          <w:tcPr>
            <w:tcW w:type="dxa" w:w="725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8.1　振动状态监测器（Vibration Condition Monitor）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主题领域</w:t>
            </w:r>
          </w:p>
        </w:tc>
        <w:tc>
          <w:tcPr>
            <w:tcW w:type="dxa" w:w="725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主题 8：智能设施与预测性维护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指示性范围</w:t>
            </w:r>
          </w:p>
        </w:tc>
        <w:tc>
          <w:tcPr>
            <w:tcW w:type="dxa" w:w="725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在安全的演示用电机/风扇上测量振动，并识别运行状况的变化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技术路线</w:t>
            </w:r>
          </w:p>
        </w:tc>
        <w:tc>
          <w:tcPr>
            <w:tcW w:type="dxa" w:w="725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ESP32-WROOM-32 单板 + MPU6050（加速度 + 板载温度）+ DS18B20 + Node-RED 仪表板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本文件对应关口</w:t>
            </w:r>
          </w:p>
        </w:tc>
        <w:tc>
          <w:tcPr>
            <w:tcW w:type="dxa" w:w="725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第 1 周 概念评审　→　第 2 周 需求关口　→　第 3 周 设计关口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评估组成</w:t>
            </w:r>
          </w:p>
        </w:tc>
        <w:tc>
          <w:tcPr>
            <w:tcW w:type="dxa" w:w="725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A. 项目提案与需求（10%）——本文件为主要提交物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配套文件</w:t>
            </w:r>
          </w:p>
        </w:tc>
        <w:tc>
          <w:tcPr>
            <w:tcW w:type="dxa" w:w="725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8.1_振动状态监测器_实施方案.docx（施工与调试手册）</w:t>
              <w:br/>
              <w:t>8.1_受控文档台账.xlsx（需求、物料、风险、责任矩阵与计划）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团队与角色</w:t>
            </w:r>
          </w:p>
        </w:tc>
        <w:tc>
          <w:tcPr>
            <w:tcW w:type="dxa" w:w="725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P1 项目/客户协调员　P2 硬件与集成　P3 软件与数据　P4 测试/验证与文档</w:t>
              <w:br/>
              <w:t>（姓名与学号：＿＿＿＿＿＿＿＿＿＿＿＿）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版本 / 日期</w:t>
            </w:r>
          </w:p>
        </w:tc>
        <w:tc>
          <w:tcPr>
            <w:tcW w:type="dxa" w:w="725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V3.0　2026-10-25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执行摘要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本文件针对智慧校园生活实验室项目 8.1“振动状态监测器”提出完整的问题定义、需求规格与概念设计。校园内大量小型旋转设备（空调机组风机、通风风机、循环水泵）长期连续运行，其轴承磨损、叶轮积尘、转子不平衡、底座松动等劣化过程会先表现为振动与温度的缓慢漂移，而现有维护方式以定期巡检和事后报修为主，既看不到趋势，也无法在故障前给出预警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我们提出的方案是一台面向该类设备的低成本、开放式状态监测节点：以振动加速度与两路温度共三路数字传感输入为基础，在边缘侧完成 1024 点 FFT、速度有效值与基频带特征提取，通过开机基线自学习与多指标偏离度判据，输出“正常 / 注意 / 报警”三级状态与可执行的维护建议；经 MQTT 上报至笔记本上的 Node-RED 仪表板，实现实时监视、历史趋势与报警闭环。系统全程工作于 5 V USB 安全低压演示台架，不接触市电，不采集任何个人数据，服务端复用现有笔记本，无额外硬件采购。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本文件共 4 幅插图、15 张表，给出 11 项功能性需求、9 项非功能性需求、13 条可测量的验收标准、12 周计划与关口对应关系、责任矩阵、物料与耗材预算（实际支出 ¥119.50，结余 ¥30.50）以及 13 项风险登记条目，并专门讨论了在 UL 与 LICHPU 两地复制部署的可行性与差异。具体的施工步骤、接线与代码要点见配套的《实施方案》。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一、问题定义与校园需求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1.1 问题陈述</w:t>
      </w:r>
    </w:p>
    <w:p>
      <w:pPr>
        <w:spacing w:before="80"/>
        <w:ind w:left="320" w:right="320"/>
        <w:shd w:val="clear" w:fill="FDF2E9"/>
      </w:pPr>
      <w:r>
        <w:rPr>
          <w:rFonts w:ascii="Times New Roman" w:hAnsi="Times New Roman" w:eastAsia="黑体"/>
          <w:b/>
          <w:color w:val="202020"/>
          <w:sz w:val="22"/>
        </w:rPr>
        <w:t>校园设施团队目前只能依靠定期巡检和故障报修来维护空调风机、通风风机与循环水泵；我们要为这些设备装上一个能连续“听诊”的低成本节点，让它用振动和温度数据在故障发生前就指出设备正在变坏。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受益者是校园设施/物业维护团队。可衡量成果：在人工巡检之前发现设备状态变化，把维护动作从“坏了再修”前移到“按状态维护”，从而减少非计划停机与不必要的更换。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1.2 受益者与利益相关者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　利益相关者与其核心诉求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19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角色</w:t>
            </w:r>
          </w:p>
        </w:tc>
        <w:tc>
          <w:tcPr>
            <w:tcW w:type="dxa" w:w="317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关注点</w:t>
            </w:r>
          </w:p>
        </w:tc>
        <w:tc>
          <w:tcPr>
            <w:tcW w:type="dxa" w:w="3969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本项目如何回应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设施/物业维护工程师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哪些设备在变坏、先修哪个、要不要停机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三级状态 + 可执行维护建议 + 优先级排序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能源与可持续发展管理人员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劣化设备能耗升高、非计划更换产生额外碳排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振动与温度趋势可作为能效与寿命的代理指标（见第七章）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实验室/教学楼使用者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空调与通风设备可靠、噪声与舒适度稳定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提前发现不平衡与积尘，避免噪声上升与风量下降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模块教员（客户与技术评审）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需求可测量、工程深度足够、证据充分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本文件的需求与验收标准、第九章的测试与校准计划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IT / 网络运维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新增设备不增加网络与安全负担</w:t>
            </w:r>
          </w:p>
        </w:tc>
        <w:tc>
          <w:tcPr>
            <w:tcW w:type="dxa" w:w="396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标准 MQTT、受限带宽、无个人数据、可限域部署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1.3 候选部署地点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　候选部署地点与选择理由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4"/>
        <w:gridCol w:w="2294"/>
        <w:gridCol w:w="2294"/>
        <w:gridCol w:w="2294"/>
      </w:tblGrid>
      <w:tr>
        <w:tc>
          <w:tcPr>
            <w:tcW w:type="dxa" w:w="19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地点</w:t>
            </w:r>
          </w:p>
        </w:tc>
        <w:tc>
          <w:tcPr>
            <w:tcW w:type="dxa" w:w="238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设备</w:t>
            </w:r>
          </w:p>
        </w:tc>
        <w:tc>
          <w:tcPr>
            <w:tcW w:type="dxa" w:w="317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选择理由</w:t>
            </w:r>
          </w:p>
        </w:tc>
        <w:tc>
          <w:tcPr>
            <w:tcW w:type="dxa" w:w="158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状态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LICHPU 教学楼 AHU-3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空调机组离心风机（约 1 500 r/min）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有独立检修空间，可加装传感器，安全低压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首选试点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LICHPU 实验楼通风风机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轴流风机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连续运行、负载稳定，适合长期趋势验证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备选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UL 校园同类机组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等效风机 / 循环水泵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用于跨国复制验证，比较两地设备与环境差异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第二阶段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项目自建演示台架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 V USB 小风扇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可控可复现：可加配重、可调松动、可遮挡风道；不接触市电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主要验证平台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1.4 成功衡量标准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3　项目成功衡量标准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维度</w:t>
            </w:r>
          </w:p>
        </w:tc>
        <w:tc>
          <w:tcPr>
            <w:tcW w:type="dxa" w:w="385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衡量标准</w:t>
            </w:r>
          </w:p>
        </w:tc>
        <w:tc>
          <w:tcPr>
            <w:tcW w:type="dxa" w:w="385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目标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技术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能否在人工巡检之前识别出人工制造的工况变化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 类工况变化中至少正确识别 2 类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数据质量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连续运行与数据完整性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≥ 72 h 连续运行，数据丢失率 ≤ 1 %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可用性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维护人员能否看懂并据此行动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≥ 3 名非项目成员能在无人讲解下读懂状态卡与建议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成本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单节点成本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≤ ¥150（含耗材与备件）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可复制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能否在 UL 与 LICHPU 两地复制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给出双地采购、环境适配与部署路径（第八章）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负责任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隐私、安全与伦理</w:t>
            </w:r>
          </w:p>
        </w:tc>
        <w:tc>
          <w:tcPr>
            <w:tcW w:type="dxa" w:w="385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无摄像头、无个人数据；全程 5 V USB 供电、免焊接装配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二、现有解决方案与实践现状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为了说明本项目的设计空间，我们对商用状态监测产品、低成本无线振动传感器以及开源/教学方案进行了对标，重点比较传感能力、数据开放性、部署成本与是否具备边缘处理能力。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4　现有方案对标分析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4"/>
        <w:gridCol w:w="2294"/>
        <w:gridCol w:w="2294"/>
        <w:gridCol w:w="2294"/>
      </w:tblGrid>
      <w:tr>
        <w:tc>
          <w:tcPr>
            <w:tcW w:type="dxa" w:w="147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方案类别</w:t>
            </w:r>
          </w:p>
        </w:tc>
        <w:tc>
          <w:tcPr>
            <w:tcW w:type="dxa" w:w="238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代表产品/做法</w:t>
            </w:r>
          </w:p>
        </w:tc>
        <w:tc>
          <w:tcPr>
            <w:tcW w:type="dxa" w:w="238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能力</w:t>
            </w:r>
          </w:p>
        </w:tc>
        <w:tc>
          <w:tcPr>
            <w:tcW w:type="dxa" w:w="283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不足（相对本项目需求）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便携式测振仪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Fluke 805 FC、SKF QuickCollect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点检精度高，内置 ISO 10816 判据，工业认可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人工点检、非连续；无趋势与历史；数据接口封闭；单价约 1 万元以上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工业无线振动变送器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Emerson AMS 9420、ifm VVB001、Banner QM30VT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振动+温度一体，防护等级高，支持长期在线监测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单价 2 000 ~ 8 000 元/测点；协议与网关封闭，需厂商平台；校园预算难以规模部署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开源/教学方案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ESP32 + MPU6050 + Grafana、TinyML 振动异常检测示例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成本极低（&lt; ¥100），资料多，适合快速原型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多为单一传感器；缺少校准与不确定度说明；阈值靠经验设定；缺少验证证据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楼宇自控系统（BMS）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既有空调机组自带振动报警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与设备集成度高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通常仅有开关量报警，无频谱与趋势；不对外提供原始数据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对标结论与设计空间：</w:t>
      </w:r>
      <w:r>
        <w:rPr>
          <w:rFonts w:ascii="Times New Roman" w:hAnsi="Times New Roman" w:eastAsia="宋体"/>
          <w:b w:val="0"/>
          <w:color w:val="202020"/>
          <w:sz w:val="21"/>
        </w:rPr>
        <w:t>商用方案准但贵、封闭，适合“诊断”不适合“密集布点”；开源方案便宜但工程深度不足，通常止步于“采集 + 画图”。本项目的设计空间因此明确为：以三路数字传感输入的融合判据、边缘特征提取与基线自学习、以及开放可互操作的数据模型，在单节点 ≤ ¥150 的成本下，提供接近工业方案的“状态变化识别”能力与完整的证据链。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三、需求与验收标准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3.1 功能性需求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5　功能性需求（优先级：M 必须 / S 应该 / C 可以）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4"/>
        <w:gridCol w:w="2294"/>
        <w:gridCol w:w="2294"/>
        <w:gridCol w:w="2294"/>
      </w:tblGrid>
      <w:tr>
        <w:tc>
          <w:tcPr>
            <w:tcW w:type="dxa" w:w="85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编号</w:t>
            </w:r>
          </w:p>
        </w:tc>
        <w:tc>
          <w:tcPr>
            <w:tcW w:type="dxa" w:w="5216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需求描述</w:t>
            </w:r>
          </w:p>
        </w:tc>
        <w:tc>
          <w:tcPr>
            <w:tcW w:type="dxa" w:w="85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优先级</w:t>
            </w:r>
          </w:p>
        </w:tc>
        <w:tc>
          <w:tcPr>
            <w:tcW w:type="dxa" w:w="215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验证方法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FR-01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采集振动（I²C，1 kSPS，帧长 1024 点）与两路温度，共三路数据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数据记录与仪表板检查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FR-02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计算时域特征：RMS、峰值、速度有效值（10 ~ 250 Hz 积分）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注入已知信号比对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FR-03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完成 1024 点 FFT，给出主频与基频带（15 ~ 35 Hz）内峰值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音箱振膜 + 100 Hz 正弦验证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FR-04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支持开机基线自学习，并给出相对基线的偏离度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与离线计算比对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FR-05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输出“正常 / 注意 / 报警”三级状态与维护建议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人工制造工况变化验证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FR-06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通过 MQTT 上报特征值，周期 ≤ 10 s，事件即时上报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抓包与端到端计时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FR-07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断网时本地缓存，网络恢复后补传，不丢数据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拔网线测试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FR-08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提供中英双语仪表板，含实时值、历史趋势与频谱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界面走查 + 用户测试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FR-09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提供本地指示（板载 LED + 有源蜂鸣器模块），无网络时仍可判读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断网走查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FR-10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记录报警事件（含触发指标与时间戳）并可导出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导出并核对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FR-11</w:t>
            </w:r>
          </w:p>
        </w:tc>
        <w:tc>
          <w:tcPr>
            <w:tcW w:type="dxa" w:w="521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支持按键重新学习基线与静音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C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现场操作验证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3.2 非功能性需求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6　非功能性需求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96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编号</w:t>
            </w:r>
          </w:p>
        </w:tc>
        <w:tc>
          <w:tcPr>
            <w:tcW w:type="dxa" w:w="107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类别</w:t>
            </w:r>
          </w:p>
        </w:tc>
        <w:tc>
          <w:tcPr>
            <w:tcW w:type="dxa" w:w="703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需求描述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NFR-01</w:t>
            </w:r>
          </w:p>
        </w:tc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安全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全部电路 ≤ 5 V 直流（USB 供电），不接触市电；转动部件加防护罩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NFR-02</w:t>
            </w:r>
          </w:p>
        </w:tc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隐私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不使用摄像头或麦克风，不采集任何可识别个人的数据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NFR-03</w:t>
            </w:r>
          </w:p>
        </w:tc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可靠性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连续运行 ≥ 72 h 无重启；看门狗、掉电恢复、断网自愈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NFR-04</w:t>
            </w:r>
          </w:p>
        </w:tc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可维护性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传感器可现场更换且免重新编译；基线可一键重学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NFR-05</w:t>
            </w:r>
          </w:p>
        </w:tc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成本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单节点 ≤ ¥150（含耗材与备件）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NFR-06</w:t>
            </w:r>
          </w:p>
        </w:tc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可访问性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仪表板中英双语；状态用文字 + 图标 + 颜色三重编码；字号可调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NFR-07</w:t>
            </w:r>
          </w:p>
        </w:tc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互操作性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数据模型带版本号并有文档，可被第三方平台订阅复用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NFR-08</w:t>
            </w:r>
          </w:p>
        </w:tc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装配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全程无需焊接，仅使用杜邦线与免焊端子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NFR-09</w:t>
            </w:r>
          </w:p>
        </w:tc>
        <w:tc>
          <w:tcPr>
            <w:tcW w:type="dxa" w:w="107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环境</w:t>
            </w:r>
          </w:p>
        </w:tc>
        <w:tc>
          <w:tcPr>
            <w:tcW w:type="dxa" w:w="703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外壳防护 ≥ IP54，工作温度 0 ~ 50 ℃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3.3 验收标准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验收标准均可测量、可复现，并与评估组成 D（测试、验证与数据分析，占 20%）直接对应。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7　验收标准与验证方法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4"/>
        <w:gridCol w:w="2294"/>
        <w:gridCol w:w="2294"/>
        <w:gridCol w:w="2294"/>
      </w:tblGrid>
      <w:tr>
        <w:tc>
          <w:tcPr>
            <w:tcW w:type="dxa" w:w="85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编号</w:t>
            </w:r>
          </w:p>
        </w:tc>
        <w:tc>
          <w:tcPr>
            <w:tcW w:type="dxa" w:w="260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验收判据</w:t>
            </w:r>
          </w:p>
        </w:tc>
        <w:tc>
          <w:tcPr>
            <w:tcW w:type="dxa" w:w="283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目标值</w:t>
            </w:r>
          </w:p>
        </w:tc>
        <w:tc>
          <w:tcPr>
            <w:tcW w:type="dxa" w:w="277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验证方法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AC-01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振动采样率准确度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误差 ≤ 0.5 %</w:t>
            </w:r>
          </w:p>
        </w:tc>
        <w:tc>
          <w:tcPr>
            <w:tcW w:type="dxa" w:w="277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连续采集 1 s 统计实际点数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AC-02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频谱频率准确度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误差 ≤ 1 % 或 ≤ Δf</w:t>
            </w:r>
          </w:p>
        </w:tc>
        <w:tc>
          <w:tcPr>
            <w:tcW w:type="dxa" w:w="277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音箱振膜 + 100 Hz 正弦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AC-03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幅值准确度（比对）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偏差 ≤ 10 %</w:t>
            </w:r>
          </w:p>
        </w:tc>
        <w:tc>
          <w:tcPr>
            <w:tcW w:type="dxa" w:w="277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与手持测振仪同点同时比对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AC-04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温度测量准确度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± 0.5 ℃</w:t>
            </w:r>
          </w:p>
        </w:tc>
        <w:tc>
          <w:tcPr>
            <w:tcW w:type="dxa" w:w="277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冰水浴与温水比对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AC-05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工况变化识别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 类中至少 2 类在 60 s 内检出并分级正确</w:t>
            </w:r>
          </w:p>
        </w:tc>
        <w:tc>
          <w:tcPr>
            <w:tcW w:type="dxa" w:w="277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不平衡 / 松动 / 负载变化对照实验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AC-06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误报控制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正常工况 2 h 内假阳性 ≤ 1 次</w:t>
            </w:r>
          </w:p>
        </w:tc>
        <w:tc>
          <w:tcPr>
            <w:tcW w:type="dxa" w:w="277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正常工况长时运行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AC-07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报警端到端延迟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≤ 5 s</w:t>
            </w:r>
          </w:p>
        </w:tc>
        <w:tc>
          <w:tcPr>
            <w:tcW w:type="dxa" w:w="277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注入越限信号并计时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AC-08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连续运行能力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≥ 72 h 无重启，丢数率 ≤ 1 %</w:t>
            </w:r>
          </w:p>
        </w:tc>
        <w:tc>
          <w:tcPr>
            <w:tcW w:type="dxa" w:w="277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不间断运行并统计记录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AC-09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断网恢复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≤ 30 s 内自动重连并补传</w:t>
            </w:r>
          </w:p>
        </w:tc>
        <w:tc>
          <w:tcPr>
            <w:tcW w:type="dxa" w:w="277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拔插网线测试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AC-10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仪表板刷新与历史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刷新 ≤ 5 s；历史可查 ≥ 4 周</w:t>
            </w:r>
          </w:p>
        </w:tc>
        <w:tc>
          <w:tcPr>
            <w:tcW w:type="dxa" w:w="277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走查 + 数据库查询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AC-11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单节点成本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≤ ¥150</w:t>
            </w:r>
          </w:p>
        </w:tc>
        <w:tc>
          <w:tcPr>
            <w:tcW w:type="dxa" w:w="277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按表 12 物料清单核算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AC-12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重复性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变异系数 ≤ 3 %</w:t>
            </w:r>
          </w:p>
        </w:tc>
        <w:tc>
          <w:tcPr>
            <w:tcW w:type="dxa" w:w="277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同一工况重复测量 10 次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AC-13</w:t>
            </w:r>
          </w:p>
        </w:tc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免焊接装配</w:t>
            </w:r>
          </w:p>
        </w:tc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全部连接为插拔或免焊端子</w:t>
            </w:r>
          </w:p>
        </w:tc>
        <w:tc>
          <w:tcPr>
            <w:tcW w:type="dxa" w:w="277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装配过程走查与记录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3.4 范围界定</w:t>
      </w:r>
    </w:p>
    <w:p>
      <w:pPr>
        <w:pStyle w:val="ListBullet"/>
        <w:spacing w:after="40" w:line="305" w:lineRule="auto"/>
        <w:ind w:left="400"/>
      </w:pPr>
      <w:r>
        <w:rPr>
          <w:rFonts w:ascii="Times New Roman" w:hAnsi="Times New Roman" w:eastAsia="宋体"/>
          <w:b/>
          <w:color w:val="202020"/>
          <w:sz w:val="21"/>
        </w:rPr>
        <w:t>本项目做：</w:t>
      </w:r>
      <w:r>
        <w:rPr>
          <w:rFonts w:ascii="Times New Roman" w:hAnsi="Times New Roman" w:eastAsia="宋体"/>
          <w:b w:val="0"/>
          <w:color w:val="202020"/>
          <w:sz w:val="21"/>
        </w:rPr>
        <w:t>面向小型旋转设备的连续状态监测与“变化识别”，包括两路传感采集、边缘特征提取、三级判别、报警与趋势可视化。</w:t>
      </w:r>
    </w:p>
    <w:p>
      <w:pPr>
        <w:pStyle w:val="ListBullet"/>
        <w:spacing w:after="40" w:line="305" w:lineRule="auto"/>
        <w:ind w:left="400"/>
      </w:pPr>
      <w:r>
        <w:rPr>
          <w:rFonts w:ascii="Times New Roman" w:hAnsi="Times New Roman" w:eastAsia="宋体"/>
          <w:b/>
          <w:color w:val="202020"/>
          <w:sz w:val="21"/>
        </w:rPr>
        <w:t>本项目不做：</w:t>
      </w:r>
      <w:r>
        <w:rPr>
          <w:rFonts w:ascii="Times New Roman" w:hAnsi="Times New Roman" w:eastAsia="宋体"/>
          <w:b w:val="0"/>
          <w:color w:val="202020"/>
          <w:sz w:val="21"/>
        </w:rPr>
        <w:t>不接触市电设备与配电柜；不采集音视频与个人数据；不给出轴承剩余寿命（RUL）的精确预测；不做电网侧电能质量分析；不在未经批准的生产设备上长期部署。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四、伦理、隐私与安全筛查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按手册第 13 章要求，在需求阶段完成筛查。结论：本项目采用保护隐私、无摄像头的物理量传感方案，全部工作在 5 V USB 安全低压演示台架上进行，</w:t>
      </w:r>
    </w:p>
    <w:p>
      <w:pPr>
        <w:spacing w:after="8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不需要</w:t>
      </w:r>
      <w:r>
        <w:rPr>
          <w:rFonts w:ascii="Times New Roman" w:hAnsi="Times New Roman" w:eastAsia="宋体"/>
          <w:b w:val="0"/>
          <w:color w:val="202020"/>
          <w:sz w:val="21"/>
        </w:rPr>
        <w:t>教员就“市电、个人数据、摄像头/视觉、健康相关测量、无人机、危险环境”作出特别批准；若后续扩展到真实运行设备取电，则须重新提交批准申请。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8　伦理、隐私与安全风险筛查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4"/>
        <w:gridCol w:w="2294"/>
        <w:gridCol w:w="2294"/>
        <w:gridCol w:w="2294"/>
      </w:tblGrid>
      <w:tr>
        <w:tc>
          <w:tcPr>
            <w:tcW w:type="dxa" w:w="158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关注项</w:t>
            </w:r>
          </w:p>
        </w:tc>
        <w:tc>
          <w:tcPr>
            <w:tcW w:type="dxa" w:w="102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是否存在</w:t>
            </w:r>
          </w:p>
        </w:tc>
        <w:tc>
          <w:tcPr>
            <w:tcW w:type="dxa" w:w="4876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评估与控制措施</w:t>
            </w:r>
          </w:p>
        </w:tc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剩余风险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市电与电气安全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否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全系统 ≤ 5 V USB 适配器供电；不拆改配电柜；台架加防护罩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低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个人数据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否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不采集姓名、图像、位置或行为数据；仅设备振动与温度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无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摄像头/视觉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否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方案不含任何成像器件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无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健康相关测量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否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不涉及人体生理参数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无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设备损坏与误停机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是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仅监测不控制，不接入设备控制系统；报警仅为建议性质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低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数据安全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是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MQTT 使用独立账号与最小权限；数据库限域访问；保留期 ≤ 4 周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低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学术诚信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是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记录第三方库与 AI 工具使用；原始数据与处理脚本入库（Git）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低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第三方场地许可</w:t>
            </w:r>
          </w:p>
        </w:tc>
        <w:tc>
          <w:tcPr>
            <w:tcW w:type="dxa" w:w="102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是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试点部署前取得设施团队书面同意；先台架后现场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低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五、系统架构与概念设计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5.1 总体架构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系统按感知层、节点层、网络层、应用层四层组织，核心设计原则是“边缘先算出结论、网络只传结论与必要证据”。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42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42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505050"/>
          <w:sz w:val="18"/>
        </w:rPr>
        <w:t>图 1　系统总体架构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5.2 传感与数据采集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手册要求“通常至少两个有意义的数据输入/传感器”。本方案采用两路数字接口传感，并使二者在判据上互补：振动反映机械劣化的即时证据，温度反映负载与润滑的慢变量。</w:t>
      </w:r>
    </w:p>
    <w:p>
      <w:pPr>
        <w:pStyle w:val="ListBullet"/>
        <w:spacing w:after="40" w:line="305" w:lineRule="auto"/>
        <w:ind w:left="400"/>
      </w:pPr>
      <w:r>
        <w:rPr>
          <w:rFonts w:ascii="Times New Roman" w:hAnsi="Times New Roman" w:eastAsia="宋体"/>
          <w:b/>
          <w:color w:val="202020"/>
          <w:sz w:val="21"/>
        </w:rPr>
        <w:t>① 振动 + 板载温度 — MPU6050 模块（I²C，±4 g，ODR 1 kSPS，板载温度）。</w:t>
      </w:r>
      <w:r>
        <w:rPr>
          <w:rFonts w:ascii="Times New Roman" w:hAnsi="Times New Roman" w:eastAsia="宋体"/>
          <w:b w:val="0"/>
          <w:color w:val="202020"/>
          <w:sz w:val="21"/>
        </w:rPr>
        <w:t>安装于风机外壳靠近轴承的位置，贴紧刚性安装，覆盖 10 ~ 260 Hz，足以覆盖 1 500 r/min 风机的 1× ~ 10× 转频范围与常见轴承特征频率。</w:t>
      </w:r>
    </w:p>
    <w:p>
      <w:pPr>
        <w:pStyle w:val="ListBullet"/>
        <w:spacing w:after="40" w:line="305" w:lineRule="auto"/>
        <w:ind w:left="400"/>
      </w:pPr>
      <w:r>
        <w:rPr>
          <w:rFonts w:ascii="Times New Roman" w:hAnsi="Times New Roman" w:eastAsia="宋体"/>
          <w:b/>
          <w:color w:val="202020"/>
          <w:sz w:val="21"/>
        </w:rPr>
        <w:t>② 温度 — DS18B20（1-Wire，−55 ~ +125 ℃，±0.5 ℃，12 bit）。</w:t>
      </w:r>
      <w:r>
        <w:rPr>
          <w:rFonts w:ascii="Times New Roman" w:hAnsi="Times New Roman" w:eastAsia="宋体"/>
          <w:b w:val="0"/>
          <w:color w:val="202020"/>
          <w:sz w:val="21"/>
        </w:rPr>
        <w:t>贴附于同一测点附近的外壳表面，用于捕捉润滑劣化、负载上升与散热变差引起的温升趋势。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为什么两路都要：</w:t>
      </w:r>
      <w:r>
        <w:rPr>
          <w:rFonts w:ascii="Times New Roman" w:hAnsi="Times New Roman" w:eastAsia="宋体"/>
          <w:b w:val="0"/>
          <w:color w:val="202020"/>
          <w:sz w:val="21"/>
        </w:rPr>
        <w:t>风机积尘与转子不平衡会立刻抬升振动，而散热不良或轴承润滑劣化往往先表现为温度上升、振动后起。单一指标容易漏判：只看振动会漏掉热相关的早期劣化，只看温度则对结构性缺陷迟钝。两路联合判据是本方案工程深度的主要来源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5.3 边缘处理与决策逻辑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固件在本地完成全部特征计算与判别，只上传结论与少量证据数据，满足手册“有意义的本地处理、过滤、融合、检测或决策逻辑——不仅仅是转发原始数值”的要求。主流程见图 2。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44000" cy="5059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5059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505050"/>
          <w:sz w:val="18"/>
        </w:rPr>
        <w:t>图 2　固件主流程（含基线自学习与三级判别）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基线自学习：</w:t>
      </w:r>
      <w:r>
        <w:rPr>
          <w:rFonts w:ascii="Times New Roman" w:hAnsi="Times New Roman" w:eastAsia="宋体"/>
          <w:b w:val="0"/>
          <w:color w:val="202020"/>
          <w:sz w:val="21"/>
        </w:rPr>
        <w:t>开机后连续采集 60 s，统计正常工况下振动 RMS 的均值 μ 与标准差 σ，自动生成注意阈值 μ+3σ 与报警阈值 μ+6σ；温度采用相对基线的增量阈值。基线只在“连续 30 min 处于正常状态”时缓慢更新，避免把已经劣化的状态学成新的正常。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多指标偏离度与迟滞：</w:t>
      </w:r>
      <w:r>
        <w:rPr>
          <w:rFonts w:ascii="Times New Roman" w:hAnsi="Times New Roman" w:eastAsia="宋体"/>
          <w:b w:val="0"/>
          <w:color w:val="202020"/>
          <w:sz w:val="21"/>
        </w:rPr>
        <w:t>对振动 RMS 与表面温度分别计算偏离度，任一越限即升级状态等级；报警需连续 3 帧确认，恢复需连续 5 帧，形成迟滞以抑制阈值附近的抖动。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基频带处理：</w:t>
      </w:r>
      <w:r>
        <w:rPr>
          <w:rFonts w:ascii="Times New Roman" w:hAnsi="Times New Roman" w:eastAsia="宋体"/>
          <w:b w:val="0"/>
          <w:color w:val="202020"/>
          <w:sz w:val="21"/>
        </w:rPr>
        <w:t>本方案未配置转速传感器，因此不对单次测量的 1× 做精确跟踪，而是取 15 ~ 35 Hz（对应 900 ~ 2100 r/min）这一“基频带”内的最大谱峰及其频率作为指标。这样在转速小范围波动时结果仍然稳定，代价是无法做严格的阶次归一化——该局限在第九章中如实说明。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5.4 通信与数据模型</w:t>
      </w:r>
    </w:p>
    <w:p>
      <w:pPr>
        <w:pStyle w:val="ListBullet"/>
        <w:spacing w:after="40" w:line="305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链路：ESP32 内置 Wi-Fi → MQTT Broker（与仪表板同机）→ SQLite 时序存储 → Node-RED 仪表板。</w:t>
      </w:r>
    </w:p>
    <w:p>
      <w:pPr>
        <w:pStyle w:val="ListBullet"/>
        <w:spacing w:after="40" w:line="305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报文：JSON，带 schema 版本号；周期状态 10 s 一条，事件即时上报。</w:t>
      </w:r>
    </w:p>
    <w:p>
      <w:pPr>
        <w:pStyle w:val="ListBullet"/>
        <w:spacing w:after="40" w:line="305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带宽：单节点平均 &lt; 10 kbps，满足校园网络与多节点扩展。</w:t>
      </w:r>
    </w:p>
    <w:p>
      <w:pPr>
        <w:pStyle w:val="ListBullet"/>
        <w:spacing w:after="40" w:line="305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互操作性：字段名、单位与取值范围在附录 B 中完整定义，第三方平台（含未来数字孪生）可直接订阅。</w:t>
      </w:r>
    </w:p>
    <w:p>
      <w:pPr>
        <w:spacing w:after="0" w:before="8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主题：smartcampus/vib/{node_id}/state   （周期，retained）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    smartcampus/vib/{node_id}/event   （事件，即时）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    smartcampus/vib/{node_id}/cmd     （下行：阈值下发 / 基线重学）</w:t>
      </w:r>
    </w:p>
    <w:p>
      <w:pPr>
        <w:spacing w:after="4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5.5 仪表板与用户界面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仪表板面向设施维护人员而非工程师，因此首屏必须回答三个问题：这台设备现在好不好、比过去差了多少、我该做什么。线框设计见图 3。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439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39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505050"/>
          <w:sz w:val="18"/>
        </w:rPr>
        <w:t>图 3　中英双语仪表板线框：状态卡 · 趋势 · 频谱 · 报警与建议</w:t>
      </w:r>
    </w:p>
    <w:p>
      <w:pPr>
        <w:pStyle w:val="ListBullet"/>
        <w:spacing w:after="40" w:line="305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实时区：状态指示灯 + 振动 RMS、速度有效值、表面温度三张状态卡；</w:t>
      </w:r>
    </w:p>
    <w:p>
      <w:pPr>
        <w:pStyle w:val="ListBullet"/>
        <w:spacing w:after="40" w:line="305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趋势区：近 24 h 曲线并叠加注意/报警阈值线；支持 7 天与 4 周视图；</w:t>
      </w:r>
    </w:p>
    <w:p>
      <w:pPr>
        <w:pStyle w:val="ListBullet"/>
        <w:spacing w:after="40" w:line="305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频谱区：1024 点幅值谱，标注基频带；</w:t>
      </w:r>
    </w:p>
    <w:p>
      <w:pPr>
        <w:pStyle w:val="ListBullet"/>
        <w:spacing w:after="40" w:line="305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报警与建议区：分级列表，每条报警附一条可执行的维护建议；</w:t>
      </w:r>
    </w:p>
    <w:p>
      <w:pPr>
        <w:pStyle w:val="ListBullet"/>
        <w:spacing w:after="40" w:line="305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可访问性：中英双语切换、状态用“文字 + 图标 + 颜色”三重编码、字号可调。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5.6 演示台架与安全设计</w:t>
      </w:r>
    </w:p>
    <w:p>
      <w:pPr>
        <w:pStyle w:val="ListBullet"/>
        <w:spacing w:after="40" w:line="305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台架：5 V USB 风扇固定在木板上，配重片制造不平衡、可调松动底座制造结构松动、纸板遮挡风道制造负载变化；全部由 5 V USB 适配器供电，转动部件加防护罩。</w:t>
      </w:r>
    </w:p>
    <w:p>
      <w:pPr>
        <w:pStyle w:val="ListBullet"/>
        <w:spacing w:after="40" w:line="305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可复现性：每种工况变化都有明确的施加方式与量级记录（配重质量、螺栓圈数、遮挡比例），保证实验可重复。</w:t>
      </w:r>
    </w:p>
    <w:p>
      <w:pPr>
        <w:pStyle w:val="ListBullet"/>
        <w:spacing w:after="40" w:line="305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安全：不接触市电；传感器与线缆固定牢靠，避免转动部件卷入。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5.7 关键技术选型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9　关键技术选型与理由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4"/>
        <w:gridCol w:w="2294"/>
        <w:gridCol w:w="2294"/>
        <w:gridCol w:w="2294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环节</w:t>
            </w:r>
          </w:p>
        </w:tc>
        <w:tc>
          <w:tcPr>
            <w:tcW w:type="dxa" w:w="204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选用</w:t>
            </w:r>
          </w:p>
        </w:tc>
        <w:tc>
          <w:tcPr>
            <w:tcW w:type="dxa" w:w="226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备选</w:t>
            </w:r>
          </w:p>
        </w:tc>
        <w:tc>
          <w:tcPr>
            <w:tcW w:type="dxa" w:w="351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选型理由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主控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ESP32-WROOM-32 单板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STM32F407、ESP32-S3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一块板同时完成采集、计算与联网，省掉模块间通信；240 MHz 双核 + FPU 足以完成 1024 点 FFT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振动 + 温度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MPU6050 模块（GY-521）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ICM-42688-P、ADXL355、IEPE 压电加速度计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一颗芯片同时给三轴加速度与板载温度，I²C 仅 4 线；省掉独立温度芯片与全部焊接工序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温度传感器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DS18B20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SHT31（I²C）、NTC + 分压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数字接口抗干扰、单线布线简单、精度满足趋势监测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服务端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Node-RED + SQLite（笔记本）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Mosquitto + InfluxDB + Grafana（三容器）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一个进程同时充当 Broker、历史库与仪表板，零硬件采购、开发量最小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仪表板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Node-RED dashboard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自研 Flask + Chart.js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拖拽式开发，双语与阈值线配置容易，实时与历史兼备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六、项目计划与资源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6.1 十二周计划与关口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2674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gant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67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505050"/>
          <w:sz w:val="18"/>
        </w:rPr>
        <w:t>图 4　十二周计划、任务分布与正式关口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10　关口对应与所需证据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90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周次</w:t>
            </w:r>
          </w:p>
        </w:tc>
        <w:tc>
          <w:tcPr>
            <w:tcW w:type="dxa" w:w="141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关口</w:t>
            </w:r>
          </w:p>
        </w:tc>
        <w:tc>
          <w:tcPr>
            <w:tcW w:type="dxa" w:w="6746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本项目的证据物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1 周</w:t>
            </w:r>
          </w:p>
        </w:tc>
        <w:tc>
          <w:tcPr>
            <w:tcW w:type="dxa" w:w="141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概念评审</w:t>
            </w:r>
          </w:p>
        </w:tc>
        <w:tc>
          <w:tcPr>
            <w:tcW w:type="dxa" w:w="674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本文件第一、二章：问题陈述、利益相关者、地点、成功标准、对标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2 周</w:t>
            </w:r>
          </w:p>
        </w:tc>
        <w:tc>
          <w:tcPr>
            <w:tcW w:type="dxa" w:w="141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需求关口</w:t>
            </w:r>
          </w:p>
        </w:tc>
        <w:tc>
          <w:tcPr>
            <w:tcW w:type="dxa" w:w="674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本文件第三章与第四章：需求、验收标准、伦理/隐私/安全筛查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3 周</w:t>
            </w:r>
          </w:p>
        </w:tc>
        <w:tc>
          <w:tcPr>
            <w:tcW w:type="dxa" w:w="141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设计关口</w:t>
            </w:r>
          </w:p>
        </w:tc>
        <w:tc>
          <w:tcPr>
            <w:tcW w:type="dxa" w:w="674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本文件第五章、表 12 物料清单、表 13 风险登记册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4 周</w:t>
            </w:r>
          </w:p>
        </w:tc>
        <w:tc>
          <w:tcPr>
            <w:tcW w:type="dxa" w:w="141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进度评审 1</w:t>
            </w:r>
          </w:p>
        </w:tc>
        <w:tc>
          <w:tcPr>
            <w:tcW w:type="dxa" w:w="674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振动与温度传感器的单元验证记录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5 周</w:t>
            </w:r>
          </w:p>
        </w:tc>
        <w:tc>
          <w:tcPr>
            <w:tcW w:type="dxa" w:w="141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—</w:t>
            </w:r>
          </w:p>
        </w:tc>
        <w:tc>
          <w:tcPr>
            <w:tcW w:type="dxa" w:w="674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频谱验证记录（100 Hz 正弦比对）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6 周</w:t>
            </w:r>
          </w:p>
        </w:tc>
        <w:tc>
          <w:tcPr>
            <w:tcW w:type="dxa" w:w="141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中期评估</w:t>
            </w:r>
          </w:p>
        </w:tc>
        <w:tc>
          <w:tcPr>
            <w:tcW w:type="dxa" w:w="674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可演示的端到端系统（采集 → 判别 → 上报 → 仪表板）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7 周</w:t>
            </w:r>
          </w:p>
        </w:tc>
        <w:tc>
          <w:tcPr>
            <w:tcW w:type="dxa" w:w="141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技术评审</w:t>
            </w:r>
          </w:p>
        </w:tc>
        <w:tc>
          <w:tcPr>
            <w:tcW w:type="dxa" w:w="674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校准报告与不确定度预算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8 周</w:t>
            </w:r>
          </w:p>
        </w:tc>
        <w:tc>
          <w:tcPr>
            <w:tcW w:type="dxa" w:w="141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证据检查点</w:t>
            </w:r>
          </w:p>
        </w:tc>
        <w:tc>
          <w:tcPr>
            <w:tcW w:type="dxa" w:w="674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三类工况变化的对照实验数据集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9 周</w:t>
            </w:r>
          </w:p>
        </w:tc>
        <w:tc>
          <w:tcPr>
            <w:tcW w:type="dxa" w:w="141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进度评审 2</w:t>
            </w:r>
          </w:p>
        </w:tc>
        <w:tc>
          <w:tcPr>
            <w:tcW w:type="dxa" w:w="674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数据分析报告、可持续性与复制性评估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10 周</w:t>
            </w:r>
          </w:p>
        </w:tc>
        <w:tc>
          <w:tcPr>
            <w:tcW w:type="dxa" w:w="141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设计冻结</w:t>
            </w:r>
          </w:p>
        </w:tc>
        <w:tc>
          <w:tcPr>
            <w:tcW w:type="dxa" w:w="674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缺陷关闭清单、72 h 连续运行记录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11 周</w:t>
            </w:r>
          </w:p>
        </w:tc>
        <w:tc>
          <w:tcPr>
            <w:tcW w:type="dxa" w:w="141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草案就绪</w:t>
            </w:r>
          </w:p>
        </w:tc>
        <w:tc>
          <w:tcPr>
            <w:tcW w:type="dxa" w:w="674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报告草稿、海报/幻灯片、仓库与文档完成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12 周</w:t>
            </w:r>
          </w:p>
        </w:tc>
        <w:tc>
          <w:tcPr>
            <w:tcW w:type="dxa" w:w="141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最终关口</w:t>
            </w:r>
          </w:p>
        </w:tc>
        <w:tc>
          <w:tcPr>
            <w:tcW w:type="dxa" w:w="674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原型演示、团队汇报、个人答辩、最终报告与工程日志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6.2 责任矩阵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11　责任矩阵（R 主责 / S 支持 / C 审核 / I 知会）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283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交付物</w:t>
            </w:r>
          </w:p>
        </w:tc>
        <w:tc>
          <w:tcPr>
            <w:tcW w:type="dxa" w:w="153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P1 项目/客户</w:t>
            </w:r>
          </w:p>
        </w:tc>
        <w:tc>
          <w:tcPr>
            <w:tcW w:type="dxa" w:w="153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P2 硬件/集成</w:t>
            </w:r>
          </w:p>
        </w:tc>
        <w:tc>
          <w:tcPr>
            <w:tcW w:type="dxa" w:w="153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P3 软件/数据</w:t>
            </w:r>
          </w:p>
        </w:tc>
        <w:tc>
          <w:tcPr>
            <w:tcW w:type="dxa" w:w="141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P4 测试/文档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问题定义与需求规格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R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  <w:tc>
          <w:tcPr>
            <w:tcW w:type="dxa" w:w="141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C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系统设计与选型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C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R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  <w:tc>
          <w:tcPr>
            <w:tcW w:type="dxa" w:w="141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硬件搭建与台架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I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R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  <w:tc>
          <w:tcPr>
            <w:tcW w:type="dxa" w:w="141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固件与边缘算法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I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R</w:t>
            </w:r>
          </w:p>
        </w:tc>
        <w:tc>
          <w:tcPr>
            <w:tcW w:type="dxa" w:w="141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C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通信与仪表板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I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R</w:t>
            </w:r>
          </w:p>
        </w:tc>
        <w:tc>
          <w:tcPr>
            <w:tcW w:type="dxa" w:w="141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校准与测试计划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C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  <w:tc>
          <w:tcPr>
            <w:tcW w:type="dxa" w:w="141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R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验证实验执行与数据分析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C</w:t>
            </w:r>
          </w:p>
        </w:tc>
        <w:tc>
          <w:tcPr>
            <w:tcW w:type="dxa" w:w="141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R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风险登记册与项目记录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R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  <w:tc>
          <w:tcPr>
            <w:tcW w:type="dxa" w:w="141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C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报告、演示与个人日志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C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  <w:tc>
          <w:tcPr>
            <w:tcW w:type="dxa" w:w="153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</w:t>
            </w:r>
          </w:p>
        </w:tc>
        <w:tc>
          <w:tcPr>
            <w:tcW w:type="dxa" w:w="141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R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6.3 物料与耗材预算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下表列出主要器件与耗材分类；逐项清单（14 项规格、数量与单价）见配套的《实施方案》表 3 ~ 表 7 与受控文档台账。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12　物料与耗材预算（预算上限 ¥150）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249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4876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  <w:tc>
          <w:tcPr>
            <w:tcW w:type="dxa" w:w="158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金额 ¥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主要器件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ESP32 开发板 ×2（CH340C，已焊排针）、MPU-6050 三轴加速度模块、DS18B20 温度模块 + 防水探头、microSD 卡座与 32 GB Class10 A1 卡、有源蜂鸣器模块、5 V 9225 演示风扇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112.50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连接件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TYPE-C 数据线、USB 公头转杜邦线；杜邦线与面包板由学校提供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7.00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结构与电源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外壳、底板、固定与配重；电源使用手边现有 USB 充电器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实际支出合计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4 人分摊约 ¥30 / 人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119.50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预算上限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满足 NFR-05（≤ ¥150）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150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结余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余量 ¥30.50（约 20 %）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30.50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装配工序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全程免焊接：已焊排针模块 + 杜邦线直插 + 面包板电源轨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—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服务端</w:t>
            </w:r>
          </w:p>
        </w:tc>
        <w:tc>
          <w:tcPr>
            <w:tcW w:type="dxa" w:w="487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复用现有笔记本，零硬件采购</w:t>
            </w:r>
          </w:p>
        </w:tc>
        <w:tc>
          <w:tcPr>
            <w:tcW w:type="dxa" w:w="158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6.4 风险登记册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13　风险登记册（等级 = 概率 × 影响，1 低 / 2 中 / 3 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51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ID</w:t>
            </w:r>
          </w:p>
        </w:tc>
        <w:tc>
          <w:tcPr>
            <w:tcW w:type="dxa" w:w="249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风险描述</w:t>
            </w:r>
          </w:p>
        </w:tc>
        <w:tc>
          <w:tcPr>
            <w:tcW w:type="dxa" w:w="85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类别</w:t>
            </w:r>
          </w:p>
        </w:tc>
        <w:tc>
          <w:tcPr>
            <w:tcW w:type="dxa" w:w="56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等级</w:t>
            </w:r>
          </w:p>
        </w:tc>
        <w:tc>
          <w:tcPr>
            <w:tcW w:type="dxa" w:w="345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应对措施</w:t>
            </w:r>
          </w:p>
        </w:tc>
        <w:tc>
          <w:tcPr>
            <w:tcW w:type="dxa" w:w="62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责任人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R-01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传感器安装方式不当导致高频幅值失真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技术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4</w:t>
            </w:r>
          </w:p>
        </w:tc>
        <w:tc>
          <w:tcPr>
            <w:tcW w:type="dxa" w:w="345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模块贴紧外壳刚性安装，标定记录安装方式并做频响修正</w:t>
            </w:r>
          </w:p>
        </w:tc>
        <w:tc>
          <w:tcPr>
            <w:tcW w:type="dxa" w:w="62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P2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R-02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无标准振动台，幅值无法绝对溯源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资源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6</w:t>
            </w:r>
          </w:p>
        </w:tc>
        <w:tc>
          <w:tcPr>
            <w:tcW w:type="dxa" w:w="345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重力翻转静态标定 + 手持测振仪比对 + 报告不确定度</w:t>
            </w:r>
          </w:p>
        </w:tc>
        <w:tc>
          <w:tcPr>
            <w:tcW w:type="dxa" w:w="62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P4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R-03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Wi-Fi 覆盖不足或丢包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基础设施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4</w:t>
            </w:r>
          </w:p>
        </w:tc>
        <w:tc>
          <w:tcPr>
            <w:tcW w:type="dxa" w:w="345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本地 SD 先存后传；必要时用手机热点</w:t>
            </w:r>
          </w:p>
        </w:tc>
        <w:tc>
          <w:tcPr>
            <w:tcW w:type="dxa" w:w="62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P3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R-04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MPU6050 带宽仅 260 Hz，限制可诊断的故障类型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技术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9</w:t>
            </w:r>
          </w:p>
        </w:tc>
        <w:tc>
          <w:tcPr>
            <w:tcW w:type="dxa" w:w="345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确认目标故障频率均 &lt; 130 Hz 并写入报告；预留升级到 ICM-42688-P 的路径</w:t>
            </w:r>
          </w:p>
        </w:tc>
        <w:tc>
          <w:tcPr>
            <w:tcW w:type="dxa" w:w="62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P3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R-05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台架转速过低，基频带内无可观测峰值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技术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4</w:t>
            </w:r>
          </w:p>
        </w:tc>
        <w:tc>
          <w:tcPr>
            <w:tcW w:type="dxa" w:w="345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选用 1200 r/min 以上风扇；必要时下移基频带并重新标定</w:t>
            </w:r>
          </w:p>
        </w:tc>
        <w:tc>
          <w:tcPr>
            <w:tcW w:type="dxa" w:w="62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P2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R-06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到货与预期不符（排针未焊、随附线缆为纯充电线）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采购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6</w:t>
            </w:r>
          </w:p>
        </w:tc>
        <w:tc>
          <w:tcPr>
            <w:tcW w:type="dxa" w:w="345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下单明确勾选“已焊排针”；到货当天验货，不合格立即换货；另备一根数据线</w:t>
            </w:r>
          </w:p>
        </w:tc>
        <w:tc>
          <w:tcPr>
            <w:tcW w:type="dxa" w:w="62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P2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R-07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采样节拍被 Wi-Fi 中断，频谱失真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技术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6</w:t>
            </w:r>
          </w:p>
        </w:tc>
        <w:tc>
          <w:tcPr>
            <w:tcW w:type="dxa" w:w="345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采样任务绑定 core 1 并设高优先级；采样用定时器而非 delay</w:t>
            </w:r>
          </w:p>
        </w:tc>
        <w:tc>
          <w:tcPr>
            <w:tcW w:type="dxa" w:w="62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P3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R-08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MQTT 报文超长导致静默发送失败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技术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6</w:t>
            </w:r>
          </w:p>
        </w:tc>
        <w:tc>
          <w:tcPr>
            <w:tcW w:type="dxa" w:w="345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首行设置 setBufferSize(1024)；增加发送返回值检查</w:t>
            </w:r>
          </w:p>
        </w:tc>
        <w:tc>
          <w:tcPr>
            <w:tcW w:type="dxa" w:w="62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P3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R-09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器件缺货或交期过长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采购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6</w:t>
            </w:r>
          </w:p>
        </w:tc>
        <w:tc>
          <w:tcPr>
            <w:tcW w:type="dxa" w:w="345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提前 2 周下单；ESP32 与 MPU6050 各备一件</w:t>
            </w:r>
          </w:p>
        </w:tc>
        <w:tc>
          <w:tcPr>
            <w:tcW w:type="dxa" w:w="62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P2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R-10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团队时间冲突（其他模块考核）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项目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6</w:t>
            </w:r>
          </w:p>
        </w:tc>
        <w:tc>
          <w:tcPr>
            <w:tcW w:type="dxa" w:w="345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周会 + WBS 分解到人；关键路径任务提前一周启动</w:t>
            </w:r>
          </w:p>
        </w:tc>
        <w:tc>
          <w:tcPr>
            <w:tcW w:type="dxa" w:w="62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P1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R-11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microSD 卡损坏导致历史丢失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技术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4</w:t>
            </w:r>
          </w:p>
        </w:tc>
        <w:tc>
          <w:tcPr>
            <w:tcW w:type="dxa" w:w="345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使用 Class10 卡；每日校验落盘；重要数据每周导出到仓库</w:t>
            </w:r>
          </w:p>
        </w:tc>
        <w:tc>
          <w:tcPr>
            <w:tcW w:type="dxa" w:w="62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P3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R-12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Node-RED 或笔记本不可用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基础设施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4</w:t>
            </w:r>
          </w:p>
        </w:tc>
        <w:tc>
          <w:tcPr>
            <w:tcW w:type="dxa" w:w="345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节点本地闭环运行；恢复后补传</w:t>
            </w:r>
          </w:p>
        </w:tc>
        <w:tc>
          <w:tcPr>
            <w:tcW w:type="dxa" w:w="62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P3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R-13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校准不确定度导致结论不可靠</w:t>
            </w:r>
          </w:p>
        </w:tc>
        <w:tc>
          <w:tcPr>
            <w:tcW w:type="dxa" w:w="85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验证</w:t>
            </w:r>
          </w:p>
        </w:tc>
        <w:tc>
          <w:tcPr>
            <w:tcW w:type="dxa" w:w="56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4</w:t>
            </w:r>
          </w:p>
        </w:tc>
        <w:tc>
          <w:tcPr>
            <w:tcW w:type="dxa" w:w="345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给出不确定度预算，结论附置信区间，避免过度断言</w:t>
            </w:r>
          </w:p>
        </w:tc>
        <w:tc>
          <w:tcPr>
            <w:tcW w:type="dxa" w:w="62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P4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七、可持续性与可持续发展目标（SDG）贡献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预测性维护的价值不止于少修一次设备：劣化的风机因不平衡与积尘而效率下降，在同样风量下需要更多电能；非计划更换则带来额外的材料与运输碳排。本项目通过延长设备寿命、减少非计划停机与避免不必要更换，贡献于以下目标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14　SDG 贡献与可测量证据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19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SDG</w:t>
            </w:r>
          </w:p>
        </w:tc>
        <w:tc>
          <w:tcPr>
            <w:tcW w:type="dxa" w:w="36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本项目的贡献</w:t>
            </w:r>
          </w:p>
        </w:tc>
        <w:tc>
          <w:tcPr>
            <w:tcW w:type="dxa" w:w="351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可测量证据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SDG 7 可负担的清洁能源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减少劣化设备的多余电耗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同一风量下不同工况的功率 / 占空比代理指标对比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SDG 9 产业、创新与基础设施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以低成本方案提升基础设施维护水平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单节点成本与检出率（单位成本效益）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SDG 11 可持续城市与社区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提升校园建筑设备可靠性与舒适度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非计划停机次数、噪声与风量记录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SDG 12 负责任的消费与生产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按状态维护，减少不必要的部件更换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试验期内避免的更换次数与物料估算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SDG 13 气候行动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延长设备寿命，减少隐含碳排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寿命延长估算 × 部件碳因子（引用文献值）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八、UL–LICHPU 跨国复制与部署路径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手册要求讨论在 UL 与 LICHPU 两地复制的可能性，包括采购、服务可用性、语言与环境差异。本设计从器件、供电、环境、网络、设备与法规六个维度做了对照。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15　UL 与 LICHPU 复制差异与对策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维度</w:t>
            </w:r>
          </w:p>
        </w:tc>
        <w:tc>
          <w:tcPr>
            <w:tcW w:type="dxa" w:w="317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差异</w:t>
            </w:r>
          </w:p>
        </w:tc>
        <w:tc>
          <w:tcPr>
            <w:tcW w:type="dxa" w:w="4309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对策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采购与成本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中国采购实际支出 ¥119.50；爱尔兰本地分销约 €55 ~ €75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集中采购后随身携带（注意锂电池航空限制）；批量采购摊薄运费与关税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供电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爱尔兰 230 V / 中国 220 V，均为 50 Hz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本方案使用 USB 5 V 供电，只需符合当地认证的 USB 充电器（CE / CCC），节点侧接口不变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气候与环境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爱尔兰湿冷多雨易凝露；中国夏季高温高湿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IP54 外壳 + 透气防水阀；接线端子防潮；温度阈值用与环境温差而非绝对温度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网络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两地校园 Wi-Fi 均可用 2.4 GHz 信道 1 ~ 13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节点不硬编码信道；MQTT Broker 在两地各部署或使用云端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设备与基线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两地风机品牌、叶片数与转速不同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基线自学习使阈值自适应，无需按品牌重新标定；仅需一次现场基线采集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语言与可访问性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两地语言不同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仪表板中英双语；状态用文字 + 图标 + 颜色三重编码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法规与数据保护</w:t>
            </w:r>
          </w:p>
        </w:tc>
        <w:tc>
          <w:tcPr>
            <w:tcW w:type="dxa" w:w="317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爱尔兰适用 GDPR；中国适用 PIPL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不采集个人数据，仅聚合设备物理量，满足数据最小化；数据限域存储、保留期 ≤ 4 周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部署路线：</w:t>
      </w:r>
      <w:r>
        <w:rPr>
          <w:rFonts w:ascii="Times New Roman" w:hAnsi="Times New Roman" w:eastAsia="宋体"/>
          <w:b w:val="0"/>
          <w:color w:val="202020"/>
          <w:sz w:val="21"/>
        </w:rPr>
        <w:t>第一阶段在 LICHPU 自建台架完成全部验证；第二阶段在一台真实空调风机上试运行 4 周，比较台架与现场的基线差异；第三阶段把同一节点与同一数据模型搬到 UL 的等效设备上，用同一套仪表板对比两地数据，验证“一次设计、两地部署”的可行性。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九、结论与下一步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本文件把选题 8.1“在安全的演示用电机/风扇上测量振动，并识别运行状况的变化”转化为一套可测量、可验证、可复制的工程需求：振动与两路温度共三路数字传感输入满足“至少两个有意义数据输入”的要求；边缘侧完成 FFT、速度有效值、基线自学习与三级判别，满足“有意义的本地处理而非转发原始数值”；MQTT + SQLite + 双语仪表板满足连通性与可视化要求；全部工作在 12 V 安全低压台架、不使用摄像头与个人数据，满足伦理、隐私与安全要求。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方案在取舍上也保持了诚实：不配置转速传感器，因而无法做严格的阶次归一化，判据仅在接近额定转速时可靠；不做包络解调，对轴承早期点蚀灵敏度有限，主要识别不平衡、积尘、松动与负载变化四类——恰好覆盖校园风机最常见的故障。这两点在第九章的局限说明与答辩中都会如实陈述，并给出了相应的增量升级路径（见《实施方案》第十三章）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下一步（对应第 2 ~ 4 周）：</w:t>
      </w:r>
    </w:p>
    <w:p>
      <w:pPr>
        <w:pStyle w:val="ListBullet"/>
        <w:spacing w:after="40" w:line="305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在概念评审上确认问题陈述与受益者，取得设备与场地的书面许可；</w:t>
      </w:r>
    </w:p>
    <w:p>
      <w:pPr>
        <w:pStyle w:val="ListBullet"/>
        <w:spacing w:after="40" w:line="305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完成需求关口签署，冻结 FR / NFR 与验收标准基线；</w:t>
      </w:r>
    </w:p>
    <w:p>
      <w:pPr>
        <w:pStyle w:val="ListBullet"/>
        <w:spacing w:after="40" w:line="305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下单采购（优先处理长交期器件），开始台架搭建与传感器单元验证；</w:t>
      </w:r>
    </w:p>
    <w:p>
      <w:pPr>
        <w:pStyle w:val="ListBullet"/>
        <w:spacing w:after="40" w:line="305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确认实验室能否借到手持测振仪——这是 AC-03 的前提条件；</w:t>
      </w:r>
    </w:p>
    <w:p>
      <w:pPr>
        <w:pStyle w:val="ListBullet"/>
        <w:spacing w:after="40" w:line="305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同步搭建 Node-RED 最小链路，用模拟数据先把仪表板跑通。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附录 A　需求追溯矩阵</w:t>
      </w:r>
    </w:p>
    <w:p>
      <w:pPr>
        <w:keepNext/>
        <w:spacing w:before="120" w:after="40"/>
        <w:jc w:val="center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4"/>
        <w:gridCol w:w="2294"/>
        <w:gridCol w:w="2294"/>
        <w:gridCol w:w="2294"/>
      </w:tblGrid>
      <w:tr>
        <w:tc>
          <w:tcPr>
            <w:tcW w:type="dxa" w:w="260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需求</w:t>
            </w:r>
          </w:p>
        </w:tc>
        <w:tc>
          <w:tcPr>
            <w:tcW w:type="dxa" w:w="238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验收标准</w:t>
            </w:r>
          </w:p>
        </w:tc>
        <w:tc>
          <w:tcPr>
            <w:tcW w:type="dxa" w:w="19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测试阶段</w:t>
            </w:r>
          </w:p>
        </w:tc>
        <w:tc>
          <w:tcPr>
            <w:tcW w:type="dxa" w:w="19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关口证据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FR-01 两路传感采集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AC-01 / AC-04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单元 + 集成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4 周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FR-02 时域特征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AC-03 / AC-12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单元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5 周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FR-03 FFT 与基频带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AC-02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单元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5 周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FR-04 基线自学习与偏离度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AC-06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系统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6 周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FR-05 三级状态与建议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AC-05 / AC-06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系统 + 验证实验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8 周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FR-06 MQTT 上报与延迟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AC-07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集成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6 周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FR-07 断网缓存与补传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AC-09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系统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10 周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FR-08 双语仪表板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AC-10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用户评估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6 周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FR-09 本地指示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AC-09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系统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10 周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FR-10 事件记录与导出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AC-10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系统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9 周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FR-11 按键交互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现场操作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10 周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NFR-01 电气安全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走查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3 周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NFR-03 可靠性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AC-08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系统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10 周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NFR-05 成本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AC-11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核算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3 周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NFR-06 可访问性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用户评估</w:t>
            </w:r>
          </w:p>
        </w:tc>
        <w:tc>
          <w:tcPr>
            <w:tcW w:type="dxa" w:w="192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6 周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附录 B　MQTT 主题与 JSON 数据模型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数据模型带版本号，字段名、单位与取值范围如下；第三方平台可直接订阅复用。</w:t>
      </w:r>
    </w:p>
    <w:p>
      <w:pPr>
        <w:spacing w:after="0" w:before="8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{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"schema": "vib.node.v1",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"node_id": "AHU-FAN-01",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"site": "LICHPU/CB-AHU3",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"ts": "2026-10-13T14:22:03Z",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"fw": "1.0.0",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"state": "attention",          // normal | attention | alarm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"score": 2.7,                  // 相对基线的偏离度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"vib": {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  "rms_g": 0.86,               // 振动加速度有效值 [g]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  "peak_g": 3.10,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  "v_rms_mmps": 1.90,          // 速度有效值 [mm/s]，10-250 Hz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  "band_peak_hz": 24.6,        // 基频带 15-35 Hz 内峰值频率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  "band_peak_g": 0.42          // 该峰值幅值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},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"temp": { "surface_c": 46.2, "delta_c": 6.4 },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"baseline": { "rms_g": 0.52, "sigma_g": 0.041, "temp_c": 39.8,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              "updated": "2026-10-12T09:10:00Z" },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"quality": { "sensor_ok": true, "samples": 1024, "fs_hz": 1000 },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"advice": "inspect_impeller_balance"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}</w:t>
      </w:r>
    </w:p>
    <w:p>
      <w:pPr>
        <w:spacing w:after="4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附录 C　个人工程日志模板</w:t>
      </w:r>
    </w:p>
    <w:p>
      <w:pPr>
        <w:keepNext/>
        <w:spacing w:before="120" w:after="40"/>
        <w:jc w:val="center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226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字段</w:t>
            </w:r>
          </w:p>
        </w:tc>
        <w:tc>
          <w:tcPr>
            <w:tcW w:type="dxa" w:w="6803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填写要求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日期 / 时长</w:t>
            </w:r>
          </w:p>
        </w:tc>
        <w:tc>
          <w:tcPr>
            <w:tcW w:type="dxa" w:w="680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本次投入的时间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本周目标</w:t>
            </w:r>
          </w:p>
        </w:tc>
        <w:tc>
          <w:tcPr>
            <w:tcW w:type="dxa" w:w="680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与 WBS 对应的任务编号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完成的工作</w:t>
            </w:r>
          </w:p>
        </w:tc>
        <w:tc>
          <w:tcPr>
            <w:tcW w:type="dxa" w:w="680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具体动作与产出（附提交哈希或文件路径）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产生的证据</w:t>
            </w:r>
          </w:p>
        </w:tc>
        <w:tc>
          <w:tcPr>
            <w:tcW w:type="dxa" w:w="680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数据、截图、测试记录、评审反馈编号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遇到的阻塞</w:t>
            </w:r>
          </w:p>
        </w:tc>
        <w:tc>
          <w:tcPr>
            <w:tcW w:type="dxa" w:w="680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问题描述与升级路径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工程决策</w:t>
            </w:r>
          </w:p>
        </w:tc>
        <w:tc>
          <w:tcPr>
            <w:tcW w:type="dxa" w:w="680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做了什么决定、依据是什么、放弃了什么备选方案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反思</w:t>
            </w:r>
          </w:p>
        </w:tc>
        <w:tc>
          <w:tcPr>
            <w:tcW w:type="dxa" w:w="680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如果重做会怎样改进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下周计划</w:t>
            </w:r>
          </w:p>
        </w:tc>
        <w:tc>
          <w:tcPr>
            <w:tcW w:type="dxa" w:w="680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任务与截止日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附录 D　待模块负责人确认的字段</w:t>
      </w:r>
    </w:p>
    <w:p>
      <w:pPr>
        <w:keepNext/>
        <w:spacing w:before="120" w:after="40"/>
        <w:jc w:val="center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36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8"/>
              </w:rPr>
              <w:t>项目</w:t>
            </w:r>
          </w:p>
        </w:tc>
        <w:tc>
          <w:tcPr>
            <w:tcW w:type="dxa" w:w="5443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8"/>
              </w:rPr>
              <w:t>待填写内容</w:t>
            </w:r>
          </w:p>
        </w:tc>
      </w:tr>
      <w:tr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模块代码 / 名称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＿＿＿＿＿＿＿＿＿＿＿＿＿＿＿＿</w:t>
            </w:r>
          </w:p>
        </w:tc>
      </w:tr>
      <w:tr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学年 / 学期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＿＿＿＿＿＿＿＿＿＿＿＿＿＿＿＿</w:t>
            </w:r>
          </w:p>
        </w:tc>
      </w:tr>
      <w:tr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项目起止日期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＿＿＿＿＿＿＿＿＿＿＿＿＿＿＿＿</w:t>
            </w:r>
          </w:p>
        </w:tc>
      </w:tr>
      <w:tr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提案 / 中期 / 最终报告截止日期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＿＿＿＿＿＿＿＿＿＿＿＿＿＿＿＿</w:t>
            </w:r>
          </w:p>
        </w:tc>
      </w:tr>
      <w:tr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演示与答辩日期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＿＿＿＿＿＿＿＿＿＿＿＿＿＿＿＿</w:t>
            </w:r>
          </w:p>
        </w:tc>
      </w:tr>
      <w:tr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提交平台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＿＿＿＿＿＿＿＿＿＿＿＿＿＿＿＿</w:t>
            </w:r>
          </w:p>
        </w:tc>
      </w:tr>
      <w:tr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经批准的实验室与硬件安排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＿＿＿＿＿＿＿＿＿＿＿＿＿＿＿＿</w:t>
            </w:r>
          </w:p>
        </w:tc>
      </w:tr>
      <w:tr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是否批准使用真实运行设备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□ 仅限台架　□ 允许低风险现场试点</w:t>
            </w:r>
          </w:p>
        </w:tc>
      </w:tr>
      <w:tr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实验室是否提供手持测振仪</w:t>
            </w:r>
          </w:p>
        </w:tc>
        <w:tc>
          <w:tcPr>
            <w:tcW w:type="dxa" w:w="544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8"/>
              </w:rPr>
              <w:t>□ 提供　□ 不提供（需调整 AC-03 口径）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361" w:right="1531" w:bottom="124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202020"/>
        <w:sz w:val="16"/>
      </w:rPr>
      <w:t xml:space="preserve">项目 8.1 振动状态监测器 · 项目提案与需求规格说明　第 </w:t>
    </w:r>
    <w:r>
      <w:rPr>
        <w:rFonts w:ascii="Times New Roman" w:hAnsi="Times New Roman" w:eastAsia="宋体"/>
        <w:b w:val="0"/>
        <w:color w:val="202020"/>
        <w:sz w:val="16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b w:val="0"/>
        <w:color w:val="20202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76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76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3B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76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3B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