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黑体"/>
          <w:b/>
          <w:color w:val="A03A1E"/>
          <w:sz w:val="23"/>
        </w:rPr>
        <w:t>利莫瑞克大学 × LICHPU　工业评估（15 ECTS）</w:t>
      </w:r>
    </w:p>
    <w:p>
      <w:pPr>
        <w:spacing w:after="240"/>
        <w:jc w:val="center"/>
      </w:pPr>
      <w:r>
        <w:rPr>
          <w:rFonts w:ascii="Times New Roman" w:hAnsi="Times New Roman" w:eastAsia="黑体"/>
          <w:b w:val="0"/>
          <w:color w:val="555B64"/>
          <w:sz w:val="22"/>
        </w:rPr>
        <w:t>智慧校园生活实验室 · 主题 8 智能设施与预测性维护</w:t>
      </w:r>
    </w:p>
    <w:p>
      <w:pPr>
        <w:spacing w:after="40"/>
        <w:jc w:val="center"/>
      </w:pPr>
      <w:r>
        <w:rPr>
          <w:rFonts w:ascii="Times New Roman" w:hAnsi="Times New Roman" w:eastAsia="黑体"/>
          <w:b/>
          <w:color w:val="1F3B63"/>
          <w:sz w:val="48"/>
        </w:rPr>
        <w:t>项目 8.1　振动状态监测器</w:t>
      </w:r>
    </w:p>
    <w:p>
      <w:pPr>
        <w:spacing w:after="240"/>
        <w:jc w:val="center"/>
      </w:pPr>
      <w:r>
        <w:rPr>
          <w:rFonts w:ascii="Times New Roman" w:hAnsi="Times New Roman" w:eastAsia="黑体"/>
          <w:b/>
          <w:color w:val="A03A1E"/>
          <w:sz w:val="30"/>
        </w:rPr>
        <w:t>方案 B 实施手册</w:t>
      </w:r>
    </w:p>
    <w:p>
      <w:pPr>
        <w:keepNext/>
        <w:spacing w:before="120" w:after="40"/>
        <w:jc w:val="center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70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9"/>
              </w:rPr>
              <w:t>项目</w:t>
            </w:r>
          </w:p>
        </w:tc>
        <w:tc>
          <w:tcPr>
            <w:tcW w:type="dxa" w:w="737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9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文件定位</w:t>
            </w:r>
          </w:p>
        </w:tc>
        <w:tc>
          <w:tcPr>
            <w:tcW w:type="dxa" w:w="737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面向施工与调试的实施手册，可与《项目提案与需求规格说明》配套使用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技术路线</w:t>
            </w:r>
          </w:p>
        </w:tc>
        <w:tc>
          <w:tcPr>
            <w:tcW w:type="dxa" w:w="737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ESP32 单板 + 振动 / 温度两路数字传感 + Node-RED 仪表板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硬件成本</w:t>
            </w:r>
          </w:p>
        </w:tc>
        <w:tc>
          <w:tcPr>
            <w:tcW w:type="dxa" w:w="737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¥211（含耗材）；加备件约 ¥232；焊接耗材由实验室提供时约 ¥179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实施工时</w:t>
            </w:r>
          </w:p>
        </w:tc>
        <w:tc>
          <w:tcPr>
            <w:tcW w:type="dxa" w:w="737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约 13 ~ 17 个工作日（不含报告与答辩）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核心步骤</w:t>
            </w:r>
          </w:p>
        </w:tc>
        <w:tc>
          <w:tcPr>
            <w:tcW w:type="dxa" w:w="737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13 个步骤，每步都给出验收标准与常见问题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采用本方案时</w:t>
            </w:r>
          </w:p>
        </w:tc>
        <w:tc>
          <w:tcPr>
            <w:tcW w:type="dxa" w:w="737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须按第十一章《需求变更清单》修订提案文件的对应需求条目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版本 / 日期</w:t>
            </w:r>
          </w:p>
        </w:tc>
        <w:tc>
          <w:tcPr>
            <w:tcW w:type="dxa" w:w="7370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9"/>
              </w:rPr>
              <w:t>V2.0（重写：增加耗材清单、接线图与分步实施）　2026-10-13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一、方案定位与总览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1.1 为什么用方案 B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本项目的评估权重中，技术设计与实现（C）占 25%，而测试、验证与数据分析（D）占 20%、报告（E）占 15%、专业执行（B）占 15%。也就是说，四分之三的分数来自“系统做完并测过、记录清楚”。方案 B 的思路是把工程复杂度压到最低，把省下的时间投入到校准、对照实验与数据分析上，同时不触碰手册规定的任何硬性下限。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1.2 方案 A / B 对照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1　方案 A / B 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维度</w:t>
            </w:r>
          </w:p>
        </w:tc>
        <w:tc>
          <w:tcPr>
            <w:tcW w:type="dxa" w:w="3742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方案 A（完整版）</w:t>
            </w:r>
          </w:p>
        </w:tc>
        <w:tc>
          <w:tcPr>
            <w:tcW w:type="dxa" w:w="4082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方案 B（本手册）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主控</w:t>
            </w:r>
          </w:p>
        </w:tc>
        <w:tc>
          <w:tcPr>
            <w:tcW w:type="dxa" w:w="374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STM32F407 + ESP8266 两个模块</w:t>
            </w:r>
          </w:p>
        </w:tc>
        <w:tc>
          <w:tcPr>
            <w:tcW w:type="dxa" w:w="408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ESP32-WROOM-32 单板（内置 Wi-Fi）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传感输入</w:t>
            </w:r>
          </w:p>
        </w:tc>
        <w:tc>
          <w:tcPr>
            <w:tcW w:type="dxa" w:w="374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振动 + 温度 + 转速（3 路）</w:t>
            </w:r>
          </w:p>
        </w:tc>
        <w:tc>
          <w:tcPr>
            <w:tcW w:type="dxa" w:w="408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振动 + 温度（2 路）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本地界面</w:t>
            </w:r>
          </w:p>
        </w:tc>
        <w:tc>
          <w:tcPr>
            <w:tcW w:type="dxa" w:w="374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OLED 四页界面 + 3 个按键</w:t>
            </w:r>
          </w:p>
        </w:tc>
        <w:tc>
          <w:tcPr>
            <w:tcW w:type="dxa" w:w="408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RGB LED + 蜂鸣器 + 1 个按键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边缘算法</w:t>
            </w:r>
          </w:p>
        </w:tc>
        <w:tc>
          <w:tcPr>
            <w:tcW w:type="dxa" w:w="374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FFT + 包络谱 + 阶次归一化 + 转速分档基线</w:t>
            </w:r>
          </w:p>
        </w:tc>
        <w:tc>
          <w:tcPr>
            <w:tcW w:type="dxa" w:w="408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FFT + 速度有效值 + 单基线 + 三级判别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服务端</w:t>
            </w:r>
          </w:p>
        </w:tc>
        <w:tc>
          <w:tcPr>
            <w:tcW w:type="dxa" w:w="374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Mosquitto + InfluxDB + Grafana（三容器）</w:t>
            </w:r>
          </w:p>
        </w:tc>
        <w:tc>
          <w:tcPr>
            <w:tcW w:type="dxa" w:w="408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Node-RED 单进程 + SQLite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服务器硬件</w:t>
            </w:r>
          </w:p>
        </w:tc>
        <w:tc>
          <w:tcPr>
            <w:tcW w:type="dxa" w:w="374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笔记本或树莓派（¥0 ~ ¥490）</w:t>
            </w:r>
          </w:p>
        </w:tc>
        <w:tc>
          <w:tcPr>
            <w:tcW w:type="dxa" w:w="408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笔记本（¥0，不采购）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硬件成本</w:t>
            </w:r>
          </w:p>
        </w:tc>
        <w:tc>
          <w:tcPr>
            <w:tcW w:type="dxa" w:w="374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¥339 / €143</w:t>
            </w:r>
          </w:p>
        </w:tc>
        <w:tc>
          <w:tcPr>
            <w:tcW w:type="dxa" w:w="408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¥211（含耗材）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实施工时</w:t>
            </w:r>
          </w:p>
        </w:tc>
        <w:tc>
          <w:tcPr>
            <w:tcW w:type="dxa" w:w="374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约 22 ~ 28 个工作日</w:t>
            </w:r>
          </w:p>
        </w:tc>
        <w:tc>
          <w:tcPr>
            <w:tcW w:type="dxa" w:w="408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约 13 ~ 17 个工作日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可识别工况</w:t>
            </w:r>
          </w:p>
        </w:tc>
        <w:tc>
          <w:tcPr>
            <w:tcW w:type="dxa" w:w="374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不平衡、积尘、松动、负载变化、轴承早期缺陷</w:t>
            </w:r>
          </w:p>
        </w:tc>
        <w:tc>
          <w:tcPr>
            <w:tcW w:type="dxa" w:w="408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不平衡、积尘、松动、负载变化（轴承早期缺陷灵敏度低）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手册硬指标</w:t>
            </w:r>
          </w:p>
        </w:tc>
        <w:tc>
          <w:tcPr>
            <w:tcW w:type="dxa" w:w="374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全部满足</w:t>
            </w:r>
          </w:p>
        </w:tc>
        <w:tc>
          <w:tcPr>
            <w:tcW w:type="dxa" w:w="408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全部满足（见第九章逐条对照）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1.3 系统总览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3427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ar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342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黑体"/>
          <w:b w:val="0"/>
          <w:color w:val="505050"/>
          <w:sz w:val="18"/>
        </w:rPr>
        <w:t>图 S1　方案 B 系统架构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/>
          <w:color w:val="202020"/>
          <w:sz w:val="21"/>
        </w:rPr>
        <w:t>关键点：</w:t>
      </w:r>
      <w:r>
        <w:rPr>
          <w:rFonts w:ascii="Times New Roman" w:hAnsi="Times New Roman" w:eastAsia="宋体"/>
          <w:b w:val="0"/>
          <w:color w:val="202020"/>
          <w:sz w:val="21"/>
        </w:rPr>
        <w:t>ADXL345 与 DS18B20 都是数字接口（SPI 与 1-Wire），因此整个系统不需要 ADC、不需要模拟前端、也不需要信号调理电路。这既省掉了元件与调试，也正好绕开ESP32 片内 ADC 噪声偏大的短板。2048 点 FFT 用 ESP-DSP 库约需 1 ~ 2 ms，相对 0.64 s 的采样窗口完全不是瓶颈。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1.4 总览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2　方案 B 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47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759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内容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硬件成本</w:t>
            </w:r>
          </w:p>
        </w:tc>
        <w:tc>
          <w:tcPr>
            <w:tcW w:type="dxa" w:w="759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¥211（主要器件 ¥72 + 电子耗材 ¥57 + 结构与台架耗材 ¥82）；按 10% 计备件与损耗约 ¥232；若焊接耗材与标准件由实验室提供，约 ¥179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服务端成本</w:t>
            </w:r>
          </w:p>
        </w:tc>
        <w:tc>
          <w:tcPr>
            <w:tcW w:type="dxa" w:w="759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¥0（使用现有笔记本 + Node-RED + SQLite，不采购服务器）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实施工时</w:t>
            </w:r>
          </w:p>
        </w:tc>
        <w:tc>
          <w:tcPr>
            <w:tcW w:type="dxa" w:w="759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约 13 ~ 17 个工作日（不含报告、海报与答辩准备）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里程碑</w:t>
            </w:r>
          </w:p>
        </w:tc>
        <w:tc>
          <w:tcPr>
            <w:tcW w:type="dxa" w:w="759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 5 ~ 6 周即可得到可演示的完整系统（采集 → 判别 → 上报 → 仪表板）</w:t>
            </w:r>
          </w:p>
        </w:tc>
      </w:tr>
      <w:tr>
        <w:tc>
          <w:tcPr>
            <w:tcW w:type="dxa" w:w="147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交付物</w:t>
            </w:r>
          </w:p>
        </w:tc>
        <w:tc>
          <w:tcPr>
            <w:tcW w:type="dxa" w:w="759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节点样机 1 台、固件源码 1 套、Node-RED 流程 1 套、实验数据集 1 份、校准与测试记录 1 套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二、物料与耗材清单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本章按“主要器件 / 电子耗材 / 结构与台架耗材”三类逐项列出，价格为中国零售参考价（含税、不含运费）。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2.1 主要器件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3　主要器件清单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51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#</w:t>
            </w:r>
          </w:p>
        </w:tc>
        <w:tc>
          <w:tcPr>
            <w:tcW w:type="dxa" w:w="13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物料</w:t>
            </w:r>
          </w:p>
        </w:tc>
        <w:tc>
          <w:tcPr>
            <w:tcW w:type="dxa" w:w="4309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规格 / 说明</w:t>
            </w:r>
          </w:p>
        </w:tc>
        <w:tc>
          <w:tcPr>
            <w:tcW w:type="dxa" w:w="73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数量</w:t>
            </w:r>
          </w:p>
        </w:tc>
        <w:tc>
          <w:tcPr>
            <w:tcW w:type="dxa" w:w="96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单价 ¥</w:t>
            </w:r>
          </w:p>
        </w:tc>
        <w:tc>
          <w:tcPr>
            <w:tcW w:type="dxa" w:w="96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小计 ¥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主控板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ESP32-WROOM-32 开发板（含 USB 数据线）</w:t>
            </w:r>
          </w:p>
        </w:tc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25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25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振动传感器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ADXL345 模块（SPI / I²C，3.3 V）</w:t>
            </w:r>
          </w:p>
        </w:tc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12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12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温度传感器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DS18B20 防水探头（1-Wire，带 1 m 线）</w:t>
            </w:r>
          </w:p>
        </w:tc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8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8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4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存储卡座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microSD 卡座模块（SPI，3.3 V）</w:t>
            </w:r>
          </w:p>
        </w:tc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5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5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5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存储卡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microSD 8 GB Class10</w:t>
            </w:r>
          </w:p>
        </w:tc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15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15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6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状态指示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RGB LED 模块，或三色 LED + 3 个电阻</w:t>
            </w:r>
          </w:p>
        </w:tc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7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蜂鸣器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有源蜂鸣器 5 V（带驱动板）</w:t>
            </w:r>
          </w:p>
        </w:tc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8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按键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12×12 轻触按键（带帽）</w:t>
            </w:r>
          </w:p>
        </w:tc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小计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</w:r>
          </w:p>
        </w:tc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72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2.2 电子耗材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4　电子耗材清单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51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#</w:t>
            </w:r>
          </w:p>
        </w:tc>
        <w:tc>
          <w:tcPr>
            <w:tcW w:type="dxa" w:w="13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物料</w:t>
            </w:r>
          </w:p>
        </w:tc>
        <w:tc>
          <w:tcPr>
            <w:tcW w:type="dxa" w:w="4309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规格 / 说明</w:t>
            </w:r>
          </w:p>
        </w:tc>
        <w:tc>
          <w:tcPr>
            <w:tcW w:type="dxa" w:w="73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数量</w:t>
            </w:r>
          </w:p>
        </w:tc>
        <w:tc>
          <w:tcPr>
            <w:tcW w:type="dxa" w:w="96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单价 ¥</w:t>
            </w:r>
          </w:p>
        </w:tc>
        <w:tc>
          <w:tcPr>
            <w:tcW w:type="dxa" w:w="96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小计 ¥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9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杜邦线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母-母 40 根 + 公-母 20 根</w:t>
            </w:r>
          </w:p>
        </w:tc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 套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8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8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10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单芯导线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0.5 mm²，红黑各 3 m</w:t>
            </w:r>
          </w:p>
        </w:tc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 套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6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6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11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洞洞板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5×7 cm 双面镀锡</w:t>
            </w:r>
          </w:p>
        </w:tc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4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12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排针 / 排母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2.54 mm 混装</w:t>
            </w:r>
          </w:p>
        </w:tc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 套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5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5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13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焊锡丝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0.6 mm，含锡 63 %</w:t>
            </w:r>
          </w:p>
        </w:tc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 小卷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15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15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14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助焊剂 / 吸锡带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免洗助焊剂或松香</w:t>
            </w:r>
          </w:p>
        </w:tc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 套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8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8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15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热缩管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直径 2 / 3 / 5 mm 混装</w:t>
            </w:r>
          </w:p>
        </w:tc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 套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6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6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16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扎带与魔术贴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小号尼龙扎带</w:t>
            </w:r>
          </w:p>
        </w:tc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 套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5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5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小计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 13 ~ 16 项实验室常备，若可借用可省 ¥34</w:t>
            </w:r>
          </w:p>
        </w:tc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57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2.3 结构与台架耗材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5　结构与台架耗材清单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9"/>
        <w:gridCol w:w="1549"/>
        <w:gridCol w:w="1549"/>
        <w:gridCol w:w="1549"/>
        <w:gridCol w:w="1549"/>
        <w:gridCol w:w="1549"/>
      </w:tblGrid>
      <w:tr>
        <w:tc>
          <w:tcPr>
            <w:tcW w:type="dxa" w:w="510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#</w:t>
            </w:r>
          </w:p>
        </w:tc>
        <w:tc>
          <w:tcPr>
            <w:tcW w:type="dxa" w:w="13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物料</w:t>
            </w:r>
          </w:p>
        </w:tc>
        <w:tc>
          <w:tcPr>
            <w:tcW w:type="dxa" w:w="4309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规格 / 说明</w:t>
            </w:r>
          </w:p>
        </w:tc>
        <w:tc>
          <w:tcPr>
            <w:tcW w:type="dxa" w:w="73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数量</w:t>
            </w:r>
          </w:p>
        </w:tc>
        <w:tc>
          <w:tcPr>
            <w:tcW w:type="dxa" w:w="96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单价 ¥</w:t>
            </w:r>
          </w:p>
        </w:tc>
        <w:tc>
          <w:tcPr>
            <w:tcW w:type="dxa" w:w="96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小计 ¥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17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塑料接线盒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100×68×50 mm</w:t>
            </w:r>
          </w:p>
        </w:tc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5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10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18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底板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木板或铝条 200×100×10 mm</w:t>
            </w:r>
          </w:p>
        </w:tc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10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10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19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M3 紧固件套装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螺丝 / 螺母 / 垫片混装盒</w:t>
            </w:r>
          </w:p>
        </w:tc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10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10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20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防松垫圈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M3 弹簧垫圈</w:t>
            </w:r>
          </w:p>
        </w:tc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 包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21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反光标记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白色标签纸或反光贴（用于转速观察）</w:t>
            </w:r>
          </w:p>
        </w:tc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 张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22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配重件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5 g / 10 g 配重块各若干（也可用硬币、螺母）</w:t>
            </w:r>
          </w:p>
        </w:tc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 套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5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5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23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热熔胶棒与双面胶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固定走线用</w:t>
            </w:r>
          </w:p>
        </w:tc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 套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6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6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24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演示风机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12 V 直流风机（电脑机箱风扇 80/120 mm）</w:t>
            </w:r>
          </w:p>
        </w:tc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15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15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25</w:t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电源适配器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12 V / 1 A，供风机</w:t>
            </w:r>
          </w:p>
        </w:tc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20</w:t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20</w:t>
            </w:r>
          </w:p>
        </w:tc>
      </w:tr>
      <w:tr>
        <w:tc>
          <w:tcPr>
            <w:tcW w:type="dxa" w:w="510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</w:r>
          </w:p>
        </w:tc>
        <w:tc>
          <w:tcPr>
            <w:tcW w:type="dxa" w:w="13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小计</w:t>
            </w:r>
          </w:p>
        </w:tc>
        <w:tc>
          <w:tcPr>
            <w:tcW w:type="dxa" w:w="430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第 19、20、23 项实验室常备，若可借用可省 ¥19</w:t>
            </w:r>
          </w:p>
        </w:tc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</w:r>
          </w:p>
        </w:tc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82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2.4 需要准备的工具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0"/>
        </w:rPr>
        <w:t>电烙铁（含烙铁架、海绵）与焊锡 —— 焊接排针与蜂鸣器驱动；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0"/>
        </w:rPr>
        <w:t>万用表 —— 每一步接线后先量通断与电压，再上电；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0"/>
        </w:rPr>
        <w:t>螺丝刀套装、剥线钳、斜口钳；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0"/>
        </w:rPr>
        <w:t>热熔胶枪 —— 固定走线与传感器；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0"/>
        </w:rPr>
        <w:t>手持测振仪与手持转速表 —— 校准比对用，**必须先确认实验室能否借到**（这是风险 R-02 的前提）。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2.5 替代型号与采购要点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6　替代型号与采购要点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13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物料</w:t>
            </w:r>
          </w:p>
        </w:tc>
        <w:tc>
          <w:tcPr>
            <w:tcW w:type="dxa" w:w="204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首选</w:t>
            </w:r>
          </w:p>
        </w:tc>
        <w:tc>
          <w:tcPr>
            <w:tcW w:type="dxa" w:w="238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可用替代</w:t>
            </w:r>
          </w:p>
        </w:tc>
        <w:tc>
          <w:tcPr>
            <w:tcW w:type="dxa" w:w="351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采购要点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主控板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ESP32-WROOM-32 DevKit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ESP32-S3、ESP32-C3（引脚需重排）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**买两块**，一块备用；选带 USB-C 与稳压芯片的版本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振动传感器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ADXL345 模块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ICM-42688-P、LIS3DH（需改驱动）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选**模块**不选裸芯片；确认支持 SPI（有的只引 I²C）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温度传感器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DS18B20 防水探头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SHT31（I²C）、NTC + 分压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买带线的探头，方便贴到风机外壳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存储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microSD SPI 模块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直接用 ESP32 片内 SPIFFS（容量小）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注意模块是 3.3 V 供电；卡用 Class10 以上</w:t>
            </w:r>
          </w:p>
        </w:tc>
      </w:tr>
      <w:tr>
        <w:tc>
          <w:tcPr>
            <w:tcW w:type="dxa" w:w="113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风机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12 V 机箱风扇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24 V 直流电机 + 扇叶</w:t>
            </w:r>
          </w:p>
        </w:tc>
        <w:tc>
          <w:tcPr>
            <w:tcW w:type="dxa" w:w="351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机箱风扇最省事：转速稳定在 1 200 ~ 1 500 r/min，正好落在分析带内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2.6 成本汇总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7　成本汇总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83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金额 ¥</w:t>
            </w:r>
          </w:p>
        </w:tc>
        <w:tc>
          <w:tcPr>
            <w:tcW w:type="dxa" w:w="4989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主要器件（表 3）</w:t>
            </w:r>
          </w:p>
        </w:tc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72</w:t>
            </w:r>
          </w:p>
        </w:tc>
        <w:tc>
          <w:tcPr>
            <w:tcW w:type="dxa" w:w="498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ESP32、两路传感器、存储、指示与按键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电子耗材（表 4）</w:t>
            </w:r>
          </w:p>
        </w:tc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57</w:t>
            </w:r>
          </w:p>
        </w:tc>
        <w:tc>
          <w:tcPr>
            <w:tcW w:type="dxa" w:w="498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导线、洞洞板、焊接与绝缘耗材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结构与台架耗材（表 5）</w:t>
            </w:r>
          </w:p>
        </w:tc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82</w:t>
            </w:r>
          </w:p>
        </w:tc>
        <w:tc>
          <w:tcPr>
            <w:tcW w:type="dxa" w:w="498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外壳、底板、紧固件、配重、风机与适配器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小计</w:t>
            </w:r>
          </w:p>
        </w:tc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211</w:t>
            </w:r>
          </w:p>
        </w:tc>
        <w:tc>
          <w:tcPr>
            <w:tcW w:type="dxa" w:w="498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4 人分摊约 ¥53 / 人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备件与损耗（按 10 % 计）</w:t>
            </w:r>
          </w:p>
        </w:tc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21</w:t>
            </w:r>
          </w:p>
        </w:tc>
        <w:tc>
          <w:tcPr>
            <w:tcW w:type="dxa" w:w="498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建议备一块 ESP32 与少量导线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合计（含备件）</w:t>
            </w:r>
          </w:p>
        </w:tc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232</w:t>
            </w:r>
          </w:p>
        </w:tc>
        <w:tc>
          <w:tcPr>
            <w:tcW w:type="dxa" w:w="498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—</w:t>
            </w:r>
          </w:p>
        </w:tc>
      </w:tr>
      <w:tr>
        <w:tc>
          <w:tcPr>
            <w:tcW w:type="dxa" w:w="28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若焊接耗材与标准件由实验室提供</w:t>
            </w:r>
          </w:p>
        </w:tc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179</w:t>
            </w:r>
          </w:p>
        </w:tc>
        <w:tc>
          <w:tcPr>
            <w:tcW w:type="dxa" w:w="498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可省第 13 ~ 16、19、20、23 项</w:t>
            </w:r>
          </w:p>
        </w:tc>
      </w:tr>
    </w:tbl>
    <w:p>
      <w:pPr>
        <w:spacing w:after="0"/>
      </w:pP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/>
          <w:color w:val="202020"/>
          <w:sz w:val="21"/>
        </w:rPr>
        <w:t>与上一版的差异说明：</w:t>
      </w:r>
      <w:r>
        <w:rPr>
          <w:rFonts w:ascii="Times New Roman" w:hAnsi="Times New Roman" w:eastAsia="宋体"/>
          <w:b w:val="0"/>
          <w:color w:val="202020"/>
          <w:sz w:val="21"/>
        </w:rPr>
        <w:t>上一版（V1.0）报出的 ¥155 中，“外壳与线材 / 台架材料 / 杂项”三行是打包估算（合计 ¥45）。本手册把这部分展开为 15 个具体条目，因此耗材由 ¥45 增至 ¥139（表 4 + 表 5），器件部分基本不变（¥70 → ¥72）。差额 ¥56 全部落在耗材上，主要是焊接材料、紧固与防松件、配重件和 12 V 适配器。建议按 ¥211 编列预算，并如实说明其中约 ¥53 可由实验室常备品替代。</w:t>
      </w: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三、接线与装配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3.1 接线图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2930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_wir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9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黑体"/>
          <w:b w:val="0"/>
          <w:color w:val="505050"/>
          <w:sz w:val="18"/>
        </w:rPr>
        <w:t>图 S2　方案 B 接线示意图（④ 为本地指示与按键）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3.2 引脚分配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8　ESP32 引脚分配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70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引脚</w:t>
            </w:r>
          </w:p>
        </w:tc>
        <w:tc>
          <w:tcPr>
            <w:tcW w:type="dxa" w:w="170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功能</w:t>
            </w:r>
          </w:p>
        </w:tc>
        <w:tc>
          <w:tcPr>
            <w:tcW w:type="dxa" w:w="204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连接对象</w:t>
            </w:r>
          </w:p>
        </w:tc>
        <w:tc>
          <w:tcPr>
            <w:tcW w:type="dxa" w:w="362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GPIO18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SPI SCK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ADXL345 + microSD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共用时钟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GPIO19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SPI MISO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ADXL345 + microSD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共用数据输入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GPIO23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SPI MOSI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ADXL345 + microSD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共用数据输出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GPIO5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SPI CS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ADXL345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片选，软件控制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GPIO2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SPI CS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microSD 模块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片选，与 ADXL345 分时复用总线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GPIO4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1-Wire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DS18B20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4.7 kΩ 上拉到 3V3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GPIO25 / 26 / 27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GPIO 输出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RGB LED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各串 1 kΩ 限流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GPIO14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PWM 输出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蜂鸣器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经 NPN 三极管驱动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GPIO0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输入（内部上拉）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按键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短按静音，长按重新学习基线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GPIO1 / 3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USB 串口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调试与烧录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板载 USB 完成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3V3 / GND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电源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全部模块</w:t>
            </w:r>
          </w:p>
        </w:tc>
        <w:tc>
          <w:tcPr>
            <w:tcW w:type="dxa" w:w="36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**一律 3.3 V，禁止接 5 V**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3.3 供电与接地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ESP32 由 USB 充电器（5 V）供电；12 V 直流风机由独立适配器供电。**两路分开**，避免电机噪声串入数字电源——这是本项目最容易忽视又最容易导致数据异常的问题。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所有模块的 GND 与 ESP32 共地。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传感器与主控之间的连线尽量短（≤ 20 cm），并远离风机电源线。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3.4 装配顺序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9　装配顺序与注意事项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73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顺序</w:t>
            </w:r>
          </w:p>
        </w:tc>
        <w:tc>
          <w:tcPr>
            <w:tcW w:type="dxa" w:w="4252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动作</w:t>
            </w:r>
          </w:p>
        </w:tc>
        <w:tc>
          <w:tcPr>
            <w:tcW w:type="dxa" w:w="4082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注意事项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</w:t>
            </w:r>
          </w:p>
        </w:tc>
        <w:tc>
          <w:tcPr>
            <w:tcW w:type="dxa" w:w="425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把排针焊到 ADXL345 / microSD 模块上</w:t>
            </w:r>
          </w:p>
        </w:tc>
        <w:tc>
          <w:tcPr>
            <w:tcW w:type="dxa" w:w="408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先焊排针再上电，避免虚焊反复排查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</w:t>
            </w:r>
          </w:p>
        </w:tc>
        <w:tc>
          <w:tcPr>
            <w:tcW w:type="dxa" w:w="425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洞洞板上焊好 ESP32 与各模块的电源总线（3V3 / GND）</w:t>
            </w:r>
          </w:p>
        </w:tc>
        <w:tc>
          <w:tcPr>
            <w:tcW w:type="dxa" w:w="408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电源线用红色与黑色区分，先只接电源不接信号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</w:t>
            </w:r>
          </w:p>
        </w:tc>
        <w:tc>
          <w:tcPr>
            <w:tcW w:type="dxa" w:w="425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焊接 RGB LED、蜂鸣器驱动三极管与按键</w:t>
            </w:r>
          </w:p>
        </w:tc>
        <w:tc>
          <w:tcPr>
            <w:tcW w:type="dxa" w:w="408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LED 各串 1 kΩ；按键一端接 GND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4</w:t>
            </w:r>
          </w:p>
        </w:tc>
        <w:tc>
          <w:tcPr>
            <w:tcW w:type="dxa" w:w="425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用杜邦线接 ADXL345（先只接这一路）</w:t>
            </w:r>
          </w:p>
        </w:tc>
        <w:tc>
          <w:tcPr>
            <w:tcW w:type="dxa" w:w="408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接完先量通断，再上电验证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5</w:t>
            </w:r>
          </w:p>
        </w:tc>
        <w:tc>
          <w:tcPr>
            <w:tcW w:type="dxa" w:w="425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依次接入 DS18B20、microSD</w:t>
            </w:r>
          </w:p>
        </w:tc>
        <w:tc>
          <w:tcPr>
            <w:tcW w:type="dxa" w:w="408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每接一路都要重新做一次自检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6</w:t>
            </w:r>
          </w:p>
        </w:tc>
        <w:tc>
          <w:tcPr>
            <w:tcW w:type="dxa" w:w="425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装入塑料接线盒，热熔胶固定走线</w:t>
            </w:r>
          </w:p>
        </w:tc>
        <w:tc>
          <w:tcPr>
            <w:tcW w:type="dxa" w:w="408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传感器要伸出盒外，便于贴到风机上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7</w:t>
            </w:r>
          </w:p>
        </w:tc>
        <w:tc>
          <w:tcPr>
            <w:tcW w:type="dxa" w:w="425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把风机拧到底板上，传感器用螺栓或粘接固定在风机外壳</w:t>
            </w:r>
          </w:p>
        </w:tc>
        <w:tc>
          <w:tcPr>
            <w:tcW w:type="dxa" w:w="408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**刚性安装**，不要用双面胶加海绵——会衰减高频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四、分步实施（13 步）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每一步都遵循同一个原则：**只增加一个变量，做完立即验证并记录**。表格中的“耗时”为单人估算，两人协作可压缩约三分之一。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10　步骤 0：采购与工具准备（0.5 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782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目标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备齐第二章全部物料，安装开发与服务端软件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做什么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① 按表 3 ~ 表 5 下单（ESP32 买两块）；② 安装 Arduino IDE 2.x 并在板管理器中添加 ESP32 支持包；③ 安装 Node.js LTS，执行 npm install -g --unsafe-perm node-red；④ 在 Node-RED 的“节点管理”中安装 node-red-dashboard、node-red-node-sqlite、node-red-contrib-aedes 三个模块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验收标准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Arduino IDE 能编译 ESP32 的 Blink 示例；浏览器打开 http://localhost:1880 看到编辑器；三个 palette 出现在左侧节点栏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常见问题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别一次买齐所有替代型号，先按表 3 下单；aedes 模块负责充当 MQTT Broker，装了它就不必再单独安装 Mosquitto</w:t>
            </w:r>
          </w:p>
        </w:tc>
      </w:tr>
    </w:tbl>
    <w:p>
      <w:pPr>
        <w:spacing w:after="0"/>
      </w:pP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11　步骤 1：点亮最小系统（0.5 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782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目标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确认工具链、驱动、串口全部正常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做什么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烧录 Blink + 串口打印程序，串口监视器波特率 115200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验收标准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板载 LED 闪烁；串口能看到周期输出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常见问题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这一步同时排除三个坑：USB 驱动未装、开发板型号选错、串口被占用。若上传失败，按住 BOOT 键再点上传</w:t>
            </w:r>
          </w:p>
        </w:tc>
      </w:tr>
    </w:tbl>
    <w:p>
      <w:pPr>
        <w:spacing w:after="0"/>
      </w:pP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12　步骤 2：接通振动传感器（1 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782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目标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把 ADXL345 读通，拿到可信的加速度原始值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做什么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按表 8 接线 → 先读器件 ID（寄存器 0x00，应返回 0xE5）→ 再读三轴原始值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验收标准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ID 正确；静止时某一轴约为 ±1 g（取决于安装方向）；轻敲桌面数值明显跳变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常见问题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模块丝印在 SPI 与 I²C 下含义不同（SDO/SDA 在 SPI 下是 MISO/MOSI）。**卡住就先用 I²C 跑通**（CS 接高），确认芯片活着再切 SPI，别在接线上耗两天</w:t>
            </w:r>
          </w:p>
        </w:tc>
      </w:tr>
    </w:tbl>
    <w:p>
      <w:pPr>
        <w:spacing w:after="0"/>
      </w:pP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13　步骤 3：接通温度传感器（0.5 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782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目标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读到可信的表面温度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做什么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GPIO4 接数据线，4.7 kΩ 上拉到 3V3；用 DallasTemperature 库读取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验收标准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室温读数合理；手指捏住探头，温度在数秒内上升 1 ~ 2 ℃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常见问题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若读到 −127 ℃，说明时序或上拉有问题；先只接一个 DS18B20，多探头需要先搜索 ROM 地址</w:t>
            </w:r>
          </w:p>
        </w:tc>
      </w:tr>
    </w:tbl>
    <w:p>
      <w:pPr>
        <w:spacing w:after="0"/>
      </w:pP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14　步骤 4：接通 microSD 存储（0.5 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782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目标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能写能读，为断网缓存做准备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做什么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与 ADXL345 共用 SPI 总线，CS 用 GPIO2；用 SD 库挂载并写一个 CSV 文件再读回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验收标准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文件创建成功，内容读回一致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常见问题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microSD 模块必须 3.3 V 供电；文件名用 8.3 短名兼容性最好；挂载失败先降低 SPI 时钟到 4 MHz 试试</w:t>
            </w:r>
          </w:p>
        </w:tc>
      </w:tr>
    </w:tbl>
    <w:p>
      <w:pPr>
        <w:spacing w:after="0"/>
      </w:pP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15　步骤 5：完成定时采样与 FFT（2 ~ 3 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782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目标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把时域波形变成可信的频谱——这是全项目的技术核心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做什么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① 用微秒级定时循环实现 3.2 kSPS × 2048 点采样；② 去均值 + Hanning 窗；③ 用 arduinoFFT 做 2048 点实数 FFT；④ 换算幅值谱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验收标准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采 1 s 统计点数为 3200 ± 16；把传感器贴在小音箱振膜上放 100 Hz 正弦，谱峰出现在 100 Hz ± 1 %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常见问题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**不要用 delay() 循环采样**，采样率会飘、频谱全假；把采样放在高优先级任务并绑定到 ESP32 的 core 1，网络留在 core 0，否则 Wi-Fi 会打断采样节拍</w:t>
            </w:r>
          </w:p>
        </w:tc>
      </w:tr>
    </w:tbl>
    <w:p>
      <w:pPr>
        <w:spacing w:after="0"/>
      </w:pP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16　步骤 6：实现特征计算（1 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782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目标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把频谱与时域数据压缩成几个可判读的指标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做什么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计算 RMS、峰值、速度有效值（10 ~ 1000 Hz 积分）以及基频带（15 ~ 35 Hz）内的最大幅值及其频率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验收标准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各指标随时间平稳；用手挡风道时 RMS 与温度同时上升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常见问题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没有转速传感器时，**不要去找精确的 1×**，改用“基频带内最大峰值”作为指标，这样转速小范围波动时结果依然稳定</w:t>
            </w:r>
          </w:p>
        </w:tc>
      </w:tr>
    </w:tbl>
    <w:p>
      <w:pPr>
        <w:spacing w:after="0"/>
      </w:pP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17　步骤 7：基线自学习与三级判别（1 ~ 2 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782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目标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让节点自己判断设备状态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做什么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① 开机连续采集 60 s，算振动 RMS 的 μ 与 σ；② 按 μ+3σ / μ+6σ 与温度增量+8 ℃ / +15 ℃ 分级；③ 加迟滞（连续 3 帧确认报警、连续 5 帧确认恢复）；④ 驱动 RGB LED 与蜂鸣器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验收标准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叶轮贴配重后状态由正常升到注意或报警，撕掉后能自动恢复；正常工况连续运行 2 h 内假阳性不超过 1 次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常见问题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基线只在“连续 30 min 处于正常状态”时缓慢更新，否则会把已经劣化的状态学成新的正常，导致漏报</w:t>
            </w:r>
          </w:p>
        </w:tc>
      </w:tr>
    </w:tbl>
    <w:p>
      <w:pPr>
        <w:spacing w:after="0"/>
      </w:pP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18　步骤 8：接入 MQTT 上报（1 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782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目标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把结果送到笔记本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做什么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用 PubSubClient 组 JSON 并发到笔记本 IP 的 1883 端口，周期 10 s，事件即时上报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验收标准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在笔记本上用 MQTTX 订阅 smartcampus/vib/# 能看到完整 JSON；断网后节点继续运行并在恢复后补传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常见问题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**第一件事就加 client.setBufferSize(1024);** PubSubClient 默认缓冲区只有 256 字节，JSON 超长会静默发送失败，查半天查不出来。笔记本要在路由器上做 DHCP 保留固定 IP</w:t>
            </w:r>
          </w:p>
        </w:tc>
      </w:tr>
    </w:tbl>
    <w:p>
      <w:pPr>
        <w:spacing w:after="0"/>
      </w:pP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19　步骤 9：搭建 Node-RED 服务端与仪表板（1 ~ 2 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782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目标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得到实时 + 历史 + 报警的可视化界面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做什么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按表 24 搭建流程：aedes broker → mqtt in → json → function（状态与建议）→ dashboard 仪表与图表 + SQLite 存历史 + switch 报警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验收标准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浏览器打开 http://localhost:1880/ui 看到实时刷新的状态卡、趋势曲线与报警列表；重启 Node-RED 后历史数据仍在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常见问题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SQLite 节点要显式建表（见 6.3），否则写入会静默失败；ui_chart 默认只保留内存中的点数，长趋势要靠 SQLite 查询回填</w:t>
            </w:r>
          </w:p>
        </w:tc>
      </w:tr>
    </w:tbl>
    <w:p>
      <w:pPr>
        <w:spacing w:after="0"/>
      </w:pP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20　步骤 10：完成校准（1 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782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目标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让测量结果可追溯、可解释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做什么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重力翻转法标定振动灵敏度与零偏；冰水浴与温水比对温度；与手持测振仪同点同时比对幅值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验收标准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见第十章表 25 的判据；全部记录填入台账「6-测试记录」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常见问题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没有振动台时，报告里必须写明这是“比对”而不是“绝对溯源”，并给出不确定度预算。**先确认实验室能借到手持测振仪**，否则这条判据要降级为相对趋势验证</w:t>
            </w:r>
          </w:p>
        </w:tc>
      </w:tr>
    </w:tbl>
    <w:p>
      <w:pPr>
        <w:spacing w:after="0"/>
      </w:pP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21　步骤 11：搭建演示台架并制造工况（1 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782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目标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能在台架上稳定复现三类工况变化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做什么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把风机固定到底板；准备 2 g / 5 g 配重片、可松动的底座螺丝、可遮挡 30 % / 60 % 的纸板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验收标准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每种工况施加方式可重复，施加前后特征值有明确差异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常见问题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配重用胶带贴在叶轮同一位置并记录质量；松螺丝要记录圈数；遮挡板要记录面积比例——**可复现性是评估组成 D 的核心**</w:t>
            </w:r>
          </w:p>
        </w:tc>
      </w:tr>
    </w:tbl>
    <w:p>
      <w:pPr>
        <w:spacing w:after="0"/>
      </w:pP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22　步骤 12：对照实验与数据分析（3 ~ 5 天）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782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内容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目标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积累足以支撑结论的实验证据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做什么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按第十一章表 26 的实验矩阵逐项执行，每种工况按规定次数重复，记录全部特征值与原始 2048 点数据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验收标准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每个工况的样本量达标；用箱线图与 ROC 曲线评估各判据的检出能力，并报告假阳性率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常见问题</w:t>
            </w:r>
          </w:p>
        </w:tc>
        <w:tc>
          <w:tcPr>
            <w:tcW w:type="dxa" w:w="782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数据当场记录，不要事后补；原始数据统一命名并存到 Git 仓库的 evidence 目录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五、固件实现要点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5.1 程序结构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744000" cy="50593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2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5059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黑体"/>
          <w:b w:val="0"/>
          <w:color w:val="505050"/>
          <w:sz w:val="18"/>
        </w:rPr>
        <w:t>图 S3　方案 B 固件主流程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**双核分工**：采样任务用 xTaskCreatePinnedToCore 绑定到 core 1 并设高优先级，Wi-Fi 与 MQTT 留在 core 0。否则网络中断会打乱采样节拍，频谱失真。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**依赖库**：Adafruit_ADXL345、OneWire + DallasTemperature、arduinoFFT（先用它跑通，再考虑换 ESP-DSP 提速）、PubSubClient、SD、ArduinoJson。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**调试开关**：留一个串口命令（如输入 r 重新学习基线、输入 d 打印一帧特征），现场调试效率会高很多。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5.2 关键参数配置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23　固件关键参数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204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参数</w:t>
            </w:r>
          </w:p>
        </w:tc>
        <w:tc>
          <w:tcPr>
            <w:tcW w:type="dxa" w:w="226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取值</w:t>
            </w:r>
          </w:p>
        </w:tc>
        <w:tc>
          <w:tcPr>
            <w:tcW w:type="dxa" w:w="4762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采样率 fs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3200 Hz</w:t>
            </w:r>
          </w:p>
        </w:tc>
        <w:tc>
          <w:tcPr>
            <w:tcW w:type="dxa" w:w="476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与 ADXL345 的 ODR 联动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帧长 N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2048 点</w:t>
            </w:r>
          </w:p>
        </w:tc>
        <w:tc>
          <w:tcPr>
            <w:tcW w:type="dxa" w:w="476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Δf = fs / N = 1.5625 Hz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帧周期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 s</w:t>
            </w:r>
          </w:p>
        </w:tc>
        <w:tc>
          <w:tcPr>
            <w:tcW w:type="dxa" w:w="476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保证报警端到端延迟 ≤ 5 s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采样时钟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312 μs / 点</w:t>
            </w:r>
          </w:p>
        </w:tc>
        <w:tc>
          <w:tcPr>
            <w:tcW w:type="dxa" w:w="476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用 micros() 或硬件定时器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基频带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15 ~ 35 Hz</w:t>
            </w:r>
          </w:p>
        </w:tc>
        <w:tc>
          <w:tcPr>
            <w:tcW w:type="dxa" w:w="476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对应 900 ~ 2100 r/min，用于取基频峰值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速度积分区间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10 ~ 1000 Hz</w:t>
            </w:r>
          </w:p>
        </w:tc>
        <w:tc>
          <w:tcPr>
            <w:tcW w:type="dxa" w:w="476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积分发散的频率在区间外剔除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基线自学习时长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60 s</w:t>
            </w:r>
          </w:p>
        </w:tc>
        <w:tc>
          <w:tcPr>
            <w:tcW w:type="dxa" w:w="476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开机后自动执行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基线更新条件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连续 30 min 正常</w:t>
            </w:r>
          </w:p>
        </w:tc>
        <w:tc>
          <w:tcPr>
            <w:tcW w:type="dxa" w:w="476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防止把故障学成正常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注意 / 报警阈值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μ + 3σ / μ + 6σ</w:t>
            </w:r>
          </w:p>
        </w:tc>
        <w:tc>
          <w:tcPr>
            <w:tcW w:type="dxa" w:w="476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振动 RMS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温度注意 / 报警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+8 ℃ / +15 ℃</w:t>
            </w:r>
          </w:p>
        </w:tc>
        <w:tc>
          <w:tcPr>
            <w:tcW w:type="dxa" w:w="476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相对基线的增量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报警确认 / 恢复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连续 3 帧 / 5 帧</w:t>
            </w:r>
          </w:p>
        </w:tc>
        <w:tc>
          <w:tcPr>
            <w:tcW w:type="dxa" w:w="476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迟滞，抑制抖动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MQTT 上报周期</w:t>
            </w:r>
          </w:p>
        </w:tc>
        <w:tc>
          <w:tcPr>
            <w:tcW w:type="dxa" w:w="2268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10 s</w:t>
            </w:r>
          </w:p>
        </w:tc>
        <w:tc>
          <w:tcPr>
            <w:tcW w:type="dxa" w:w="476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事件即时上报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5.3 关键代码要点</w:t>
      </w:r>
    </w:p>
    <w:p>
      <w:pPr>
        <w:spacing w:after="40"/>
        <w:jc w:val="both"/>
      </w:pPr>
      <w:r>
        <w:rPr>
          <w:rFonts w:ascii="Times New Roman" w:hAnsi="Times New Roman" w:eastAsia="宋体"/>
          <w:b/>
          <w:color w:val="202020"/>
          <w:sz w:val="21"/>
        </w:rPr>
        <w:t>① 定时采样（ESP32 双核，避开 Wi-Fi 干扰）</w:t>
      </w:r>
    </w:p>
    <w:p>
      <w:pPr>
        <w:spacing w:after="0" w:before="8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const int N = 2048;  const float FS = 3200.0;  const uint32_t T_US = 312;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void sampleTask(void *p) {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uint32_t next = micros();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for (int i = 0; i &lt; N; i++) {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  while ((int32_t)(micros() - next) &lt; 0) { }   // 等待到下一个采样时刻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  next += T_US;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  buf[i] = adxl.getX();                        // 读单轴原始值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}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vTaskDelete(NULL);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}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// 在 setup() 中：采样任务绑到 core 1，优先级 3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xTaskCreatePinnedToCore(sampleTask, "sampling", 4096, NULL, 3, NULL, 1);</w:t>
      </w:r>
    </w:p>
    <w:p>
      <w:pPr>
        <w:spacing w:after="40"/>
      </w:pPr>
    </w:p>
    <w:p>
      <w:pPr>
        <w:spacing w:after="40"/>
        <w:jc w:val="both"/>
      </w:pPr>
      <w:r>
        <w:rPr>
          <w:rFonts w:ascii="Times New Roman" w:hAnsi="Times New Roman" w:eastAsia="宋体"/>
          <w:b/>
          <w:color w:val="202020"/>
          <w:sz w:val="21"/>
        </w:rPr>
        <w:t>② FFT（arduinoFFT，先跑通再优化）</w:t>
      </w:r>
    </w:p>
    <w:p>
      <w:pPr>
        <w:spacing w:after="0" w:before="8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double vReal[N], vImag[N];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double mean = 0; for (int i = 0; i &lt; N; i++) mean += buf[i]; mean /= N;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for (int i = 0; i &lt; N; i++) { vReal[i] = buf[i] - mean; vImag[i] = 0; }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FFT.Windowing(vReal, N, FFT_WIN_TYP_HANN, FFT_FORWARD);   // Hanning 窗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FFT.Compute(vReal, vImag, N, FFT_FORWARD);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FFT.ComplexToMagnitude(vReal, vImag, N);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double fPeak = FFT.MajorPeak(vReal, N, FS);               // 主频</w:t>
      </w:r>
    </w:p>
    <w:p>
      <w:pPr>
        <w:spacing w:after="40"/>
      </w:pPr>
    </w:p>
    <w:p>
      <w:pPr>
        <w:spacing w:after="40"/>
        <w:jc w:val="both"/>
      </w:pPr>
      <w:r>
        <w:rPr>
          <w:rFonts w:ascii="Times New Roman" w:hAnsi="Times New Roman" w:eastAsia="宋体"/>
          <w:b/>
          <w:color w:val="202020"/>
          <w:sz w:val="21"/>
        </w:rPr>
        <w:t>③ 速度有效值（10 ~ 1000 Hz 积分，单位 mm/s）</w:t>
      </w:r>
    </w:p>
    <w:p>
      <w:pPr>
        <w:spacing w:after="0" w:before="8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double s = 0;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for (int k = 1; k &lt; N / 2; k++) {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double f = k * FS / N;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if (f &lt; 10 || f &gt; 1000) continue;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double a = vReal[k] / (N / 2.0) * 2.0;   // Hanning 窗需乘幅值恢复系数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double v = a / (2 * PI * f);             // 加速度谱积分成速度谱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s += v * v;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}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double v_rms = sqrt(s / 2) * 1000.0;       // m/s → mm/s</w:t>
      </w:r>
    </w:p>
    <w:p>
      <w:pPr>
        <w:spacing w:after="40"/>
      </w:pPr>
    </w:p>
    <w:p>
      <w:pPr>
        <w:spacing w:after="40"/>
        <w:jc w:val="both"/>
      </w:pPr>
      <w:r>
        <w:rPr>
          <w:rFonts w:ascii="Times New Roman" w:hAnsi="Times New Roman" w:eastAsia="宋体"/>
          <w:b/>
          <w:color w:val="202020"/>
          <w:sz w:val="21"/>
        </w:rPr>
        <w:t>④ MQTT 发送（注意缓冲区）</w:t>
      </w:r>
    </w:p>
    <w:p>
      <w:pPr>
        <w:spacing w:after="0" w:before="8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client.setServer(BROKER_IP, 1883);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client.setBufferSize(1024);   // 默认仅 256 字节，JSON 会静默发送失败</w:t>
      </w:r>
    </w:p>
    <w:p>
      <w:pPr>
        <w:spacing w:after="40"/>
      </w:pP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六、服务端实现（Node-RED）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6.1 组件与配置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24　Node-RED 组件与配置要点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73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顺序</w:t>
            </w:r>
          </w:p>
        </w:tc>
        <w:tc>
          <w:tcPr>
            <w:tcW w:type="dxa" w:w="238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节点</w:t>
            </w:r>
          </w:p>
        </w:tc>
        <w:tc>
          <w:tcPr>
            <w:tcW w:type="dxa" w:w="5953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配置要点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aedes broker</w:t>
            </w:r>
          </w:p>
        </w:tc>
        <w:tc>
          <w:tcPr>
            <w:tcW w:type="dxa" w:w="595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端口 1883，允许匿名连接（仅限校园局域网，勿暴露公网）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mqtt in</w:t>
            </w:r>
          </w:p>
        </w:tc>
        <w:tc>
          <w:tcPr>
            <w:tcW w:type="dxa" w:w="595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主题 smartcampus/vib/+/state，QoS 1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json</w:t>
            </w:r>
          </w:p>
        </w:tc>
        <w:tc>
          <w:tcPr>
            <w:tcW w:type="dxa" w:w="595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解析 payload 为对象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4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function（状态与建议）</w:t>
            </w:r>
          </w:p>
        </w:tc>
        <w:tc>
          <w:tcPr>
            <w:tcW w:type="dxa" w:w="595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依据 score 与温度增量生成 state 与 advice 文本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5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ui_gauge × 3</w:t>
            </w:r>
          </w:p>
        </w:tc>
        <w:tc>
          <w:tcPr>
            <w:tcW w:type="dxa" w:w="595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振动 RMS、速度有效值、表面温度三张状态卡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6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ui_chart × 2</w:t>
            </w:r>
          </w:p>
        </w:tc>
        <w:tc>
          <w:tcPr>
            <w:tcW w:type="dxa" w:w="595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24 h 趋势曲线（数据来自 SQLite）；频谱图（订阅 /spectrum）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7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sqlite（读写）</w:t>
            </w:r>
          </w:p>
        </w:tc>
        <w:tc>
          <w:tcPr>
            <w:tcW w:type="dxa" w:w="595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写入 readings 表；趋势图通过查询回填历史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8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switch（报警）</w:t>
            </w:r>
          </w:p>
        </w:tc>
        <w:tc>
          <w:tcPr>
            <w:tcW w:type="dxa" w:w="595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state 非 normal 时触发提示，并写入报警表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9</w:t>
            </w:r>
          </w:p>
        </w:tc>
        <w:tc>
          <w:tcPr>
            <w:tcW w:type="dxa" w:w="238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ui_text（报警与建议）</w:t>
            </w:r>
          </w:p>
        </w:tc>
        <w:tc>
          <w:tcPr>
            <w:tcW w:type="dxa" w:w="5953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分级列表，每条报警附一条维护建议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6.2 数据库表结构</w:t>
      </w:r>
    </w:p>
    <w:p>
      <w:pPr>
        <w:spacing w:after="0" w:before="8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CREATE TABLE readings (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ts     TEXT,     -- ISO8601 时间戳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rms    REAL,     -- 振动加速度有效值 [g]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v_rms  REAL,     -- 速度有效值 [mm/s]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temp   REAL,     -- 表面温度 [℃]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fpeak  REAL,     -- 基频带内最大峰值频率 [Hz]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state  TEXT,     -- normal | attention | alarm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 xml:space="preserve">  score  REAL      -- 偏离度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);</w:t>
      </w:r>
    </w:p>
    <w:p>
      <w:pPr>
        <w:spacing w:after="0" w:before="0" w:line="245" w:lineRule="auto"/>
        <w:ind w:left="240"/>
        <w:shd w:val="clear" w:fill="F4F6F8"/>
      </w:pPr>
      <w:r>
        <w:rPr>
          <w:rFonts w:ascii="Consolas" w:hAnsi="Consolas" w:eastAsia="宋体"/>
          <w:b w:val="0"/>
          <w:color w:val="202020"/>
          <w:sz w:val="16"/>
        </w:rPr>
        <w:t>CREATE INDEX idx_ts ON readings(ts);</w:t>
      </w:r>
    </w:p>
    <w:p>
      <w:pPr>
        <w:spacing w:after="40"/>
      </w:pP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6.3 仪表板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8000" cy="34392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439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黑体"/>
          <w:b w:val="0"/>
          <w:color w:val="505050"/>
          <w:sz w:val="18"/>
        </w:rPr>
        <w:t>图 S4　仪表板线框（方案 B 用 Node-RED dashboard 实现）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实时区：状态指示灯 + 振动 RMS、速度有效值、表面温度三张状态卡；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趋势区：近 24 h 曲线并叠加注意 / 报警阈值线；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频谱区：2048 点幅值谱，标注基频带；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报警区：分级列表，每条附一条维护建议；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历史：SQLite 持久化满足“历史可查 ≥ 4 周”；节点侧 microSD 同时留底。</w:t>
      </w: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七、校准与测试记录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25　校准步骤与判据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70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项目</w:t>
            </w:r>
          </w:p>
        </w:tc>
        <w:tc>
          <w:tcPr>
            <w:tcW w:type="dxa" w:w="4649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方法</w:t>
            </w:r>
          </w:p>
        </w:tc>
        <w:tc>
          <w:tcPr>
            <w:tcW w:type="dxa" w:w="272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判据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振动灵敏度与零偏</w:t>
            </w:r>
          </w:p>
        </w:tc>
        <w:tc>
          <w:tcPr>
            <w:tcW w:type="dxa" w:w="464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重力翻转法：传感器六个朝向各朝下，各采样 10 s，最小二乘拟合</w:t>
            </w:r>
          </w:p>
        </w:tc>
        <w:tc>
          <w:tcPr>
            <w:tcW w:type="dxa" w:w="272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拟合残差 ≤ 5 %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振动幅值（比对）</w:t>
            </w:r>
          </w:p>
        </w:tc>
        <w:tc>
          <w:tcPr>
            <w:tcW w:type="dxa" w:w="464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与手持测振仪同点同时测量 3 个转速点</w:t>
            </w:r>
          </w:p>
        </w:tc>
        <w:tc>
          <w:tcPr>
            <w:tcW w:type="dxa" w:w="272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偏差 ≤ 10 %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温度</w:t>
            </w:r>
          </w:p>
        </w:tc>
        <w:tc>
          <w:tcPr>
            <w:tcW w:type="dxa" w:w="464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冰水浴（0 ℃）与温水（约 45 ℃）与标准温度计比对</w:t>
            </w:r>
          </w:p>
        </w:tc>
        <w:tc>
          <w:tcPr>
            <w:tcW w:type="dxa" w:w="272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偏差 ≤ 0.5 ℃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采样率</w:t>
            </w:r>
          </w:p>
        </w:tc>
        <w:tc>
          <w:tcPr>
            <w:tcW w:type="dxa" w:w="464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连续采集 1 s，统计实际点数</w:t>
            </w:r>
          </w:p>
        </w:tc>
        <w:tc>
          <w:tcPr>
            <w:tcW w:type="dxa" w:w="272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3200 ± 16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频率准确度</w:t>
            </w:r>
          </w:p>
        </w:tc>
        <w:tc>
          <w:tcPr>
            <w:tcW w:type="dxa" w:w="464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小音箱振膜 + 信号发生器输出 100 Hz 正弦</w:t>
            </w:r>
          </w:p>
        </w:tc>
        <w:tc>
          <w:tcPr>
            <w:tcW w:type="dxa" w:w="272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谱峰误差 ≤ 1 %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重复性</w:t>
            </w:r>
          </w:p>
        </w:tc>
        <w:tc>
          <w:tcPr>
            <w:tcW w:type="dxa" w:w="4649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同一工况连续测量 10 次</w:t>
            </w:r>
          </w:p>
        </w:tc>
        <w:tc>
          <w:tcPr>
            <w:tcW w:type="dxa" w:w="272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变异系数 ≤ 3 %</w:t>
            </w:r>
          </w:p>
        </w:tc>
      </w:tr>
    </w:tbl>
    <w:p>
      <w:pPr>
        <w:spacing w:after="0"/>
      </w:pP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每次测量当场填写台账「6-测试记录」，并保存原始数据文件；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校准系数写入固件配置或 SD 卡配置文件，更换传感器后可重新标定；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所有结论附不确定度说明，避免对测量能力作过度断言。</w:t>
      </w: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八、演示台架与工况实验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8.1 台架搭法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把 12 V 直流风机用 4 颗螺丝拧在木板或铝条上，底板再固定到桌面；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传感器用螺栓或粘接固定在风机外壳靠近轴承的位置（**刚性安装**）；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不平衡：在叶轮同一位置贴配重片（2 g 与 5 g 两档），记录质量与位置；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结构松动：松开固定风机的一颗螺丝 1/4 圈或 1/2 圈，记录圈数；</w:t>
      </w:r>
    </w:p>
    <w:p>
      <w:pPr>
        <w:pStyle w:val="ListBullet"/>
        <w:spacing w:after="40" w:line="302" w:lineRule="auto"/>
        <w:ind w:left="400"/>
      </w:pPr>
      <w:r>
        <w:rPr>
          <w:rFonts w:ascii="Times New Roman" w:hAnsi="Times New Roman" w:eastAsia="宋体"/>
          <w:b w:val="0"/>
          <w:color w:val="202020"/>
          <w:sz w:val="21"/>
        </w:rPr>
        <w:t>负载变化：用硬纸板遮挡进风口 30 % 与 60 %，记录遮挡比例。</w:t>
      </w:r>
    </w:p>
    <w:p>
      <w:pPr>
        <w:pStyle w:val="Heading2"/>
      </w:pPr>
      <w:r>
        <w:rPr>
          <w:rFonts w:ascii="Arial" w:hAnsi="Arial" w:eastAsia="黑体"/>
          <w:b/>
          <w:color w:val="1F3B63"/>
          <w:sz w:val="24"/>
        </w:rPr>
        <w:t>8.2 工况实验矩阵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26　工况变化对照实验矩阵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工况</w:t>
            </w:r>
          </w:p>
        </w:tc>
        <w:tc>
          <w:tcPr>
            <w:tcW w:type="dxa" w:w="272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施加方式</w:t>
            </w:r>
          </w:p>
        </w:tc>
        <w:tc>
          <w:tcPr>
            <w:tcW w:type="dxa" w:w="30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预期特征变化</w:t>
            </w:r>
          </w:p>
        </w:tc>
        <w:tc>
          <w:tcPr>
            <w:tcW w:type="dxa" w:w="204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重复次数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正常基线</w:t>
            </w:r>
          </w:p>
        </w:tc>
        <w:tc>
          <w:tcPr>
            <w:tcW w:type="dxa" w:w="272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原始状态，稳定运行</w:t>
            </w:r>
          </w:p>
        </w:tc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各指标稳定在 ±2σ 内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5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转子不平衡</w:t>
            </w:r>
          </w:p>
        </w:tc>
        <w:tc>
          <w:tcPr>
            <w:tcW w:type="dxa" w:w="272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叶轮贴 2 g / 5 g 配重片</w:t>
            </w:r>
          </w:p>
        </w:tc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基频带幅值与 RMS 上升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5 / 档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结构松动</w:t>
            </w:r>
          </w:p>
        </w:tc>
        <w:tc>
          <w:tcPr>
            <w:tcW w:type="dxa" w:w="272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松开底座螺丝 1/4 圈、1/2 圈</w:t>
            </w:r>
          </w:p>
        </w:tc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谐波成分上升，转速波动增大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 / 档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负载变化</w:t>
            </w:r>
          </w:p>
        </w:tc>
        <w:tc>
          <w:tcPr>
            <w:tcW w:type="dxa" w:w="272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遮挡进风口 30 % / 60 %</w:t>
            </w:r>
          </w:p>
        </w:tc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RMS 与温度同时上升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 / 档</w:t>
            </w:r>
          </w:p>
        </w:tc>
      </w:tr>
      <w:tr>
        <w:tc>
          <w:tcPr>
            <w:tcW w:type="dxa" w:w="1247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转速变化</w:t>
            </w:r>
          </w:p>
        </w:tc>
        <w:tc>
          <w:tcPr>
            <w:tcW w:type="dxa" w:w="272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调压至 9 V / 12 V</w:t>
            </w:r>
          </w:p>
        </w:tc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基频带峰值随转速移动（验证归一化必要性）</w:t>
            </w:r>
          </w:p>
        </w:tc>
        <w:tc>
          <w:tcPr>
            <w:tcW w:type="dxa" w:w="204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</w:t>
            </w:r>
          </w:p>
        </w:tc>
      </w:tr>
    </w:tbl>
    <w:p>
      <w:pPr>
        <w:spacing w:after="0"/>
      </w:pP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每条记录须包含：时间戳、转速、环境温度、施加参数、全部特征值、原始 2048 点数据文件名。按工况分组统计均值与标准差，用箱线图与 ROC 曲线评估各判据的检出能力，并报告假阳性率。</w:t>
      </w: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九、与手册要求的逐条对照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27　手册要求与方案 B 的对应关系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6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手册要求</w:t>
            </w:r>
          </w:p>
        </w:tc>
        <w:tc>
          <w:tcPr>
            <w:tcW w:type="dxa" w:w="3742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方案 B 如何满足</w:t>
            </w:r>
          </w:p>
        </w:tc>
        <w:tc>
          <w:tcPr>
            <w:tcW w:type="dxa" w:w="215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证据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明确定义的客户需求、可衡量的验收标准</w:t>
            </w:r>
          </w:p>
        </w:tc>
        <w:tc>
          <w:tcPr>
            <w:tcW w:type="dxa" w:w="374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沿用提案文件第 1、3 章，按第十一章做少量修订</w:t>
            </w:r>
          </w:p>
        </w:tc>
        <w:tc>
          <w:tcPr>
            <w:tcW w:type="dxa" w:w="215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提案文件 + 第十一章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可工作的集成原型</w:t>
            </w:r>
          </w:p>
        </w:tc>
        <w:tc>
          <w:tcPr>
            <w:tcW w:type="dxa" w:w="374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ESP32 单板完成采集 → 处理 → 通信 → 决策全链路</w:t>
            </w:r>
          </w:p>
        </w:tc>
        <w:tc>
          <w:tcPr>
            <w:tcW w:type="dxa" w:w="215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步骤 9 的端到端演示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至少两个有意义的数据输入并做校准</w:t>
            </w:r>
          </w:p>
        </w:tc>
        <w:tc>
          <w:tcPr>
            <w:tcW w:type="dxa" w:w="374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振动与温度两路，均可独立校准</w:t>
            </w:r>
          </w:p>
        </w:tc>
        <w:tc>
          <w:tcPr>
            <w:tcW w:type="dxa" w:w="215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校准报告（重力翻转 / 水浴 / 比对）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有意义的本地处理与决策逻辑</w:t>
            </w:r>
          </w:p>
        </w:tc>
        <w:tc>
          <w:tcPr>
            <w:tcW w:type="dxa" w:w="374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本地完成 2048 点 FFT、特征提取、基线自学习与三级判别</w:t>
            </w:r>
          </w:p>
        </w:tc>
        <w:tc>
          <w:tcPr>
            <w:tcW w:type="dxa" w:w="215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固件源码 + 单元测试记录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适当的网络通信（Wi-Fi / MQTT）</w:t>
            </w:r>
          </w:p>
        </w:tc>
        <w:tc>
          <w:tcPr>
            <w:tcW w:type="dxa" w:w="374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ESP32 内置 Wi-Fi + MQTT，10 s 周期 + 事件即时</w:t>
            </w:r>
          </w:p>
        </w:tc>
        <w:tc>
          <w:tcPr>
            <w:tcW w:type="dxa" w:w="215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抓包记录 + 端到端延迟测试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仪表板：实时与历史视图、报警与建议机制</w:t>
            </w:r>
          </w:p>
        </w:tc>
        <w:tc>
          <w:tcPr>
            <w:tcW w:type="dxa" w:w="374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Node-RED dashboard：状态卡 + 24 h 趋势 + 频谱 + 分级报警与建议；SQLite 存历史</w:t>
            </w:r>
          </w:p>
        </w:tc>
        <w:tc>
          <w:tcPr>
            <w:tcW w:type="dxa" w:w="215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界面走查 + 非项目成员可用性测试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单元 / 集成 / 系统测试与实验证据</w:t>
            </w:r>
          </w:p>
        </w:tc>
        <w:tc>
          <w:tcPr>
            <w:tcW w:type="dxa" w:w="374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第九章至第十一章的校准与实验流程</w:t>
            </w:r>
          </w:p>
        </w:tc>
        <w:tc>
          <w:tcPr>
            <w:tcW w:type="dxa" w:w="215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台账「6-测试记录」「7-工况实验记录」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专业实践：版本控制、会议记录、问题跟踪、风险登记册、受控文档</w:t>
            </w:r>
          </w:p>
        </w:tc>
        <w:tc>
          <w:tcPr>
            <w:tcW w:type="dxa" w:w="374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沿用提案文件与受控文档台账；需求变更记入「8-变更记录」</w:t>
            </w:r>
          </w:p>
        </w:tc>
        <w:tc>
          <w:tcPr>
            <w:tcW w:type="dxa" w:w="215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Git 仓库 + Excel 台账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负责任设计：隐私、安全、伦理、可访问性</w:t>
            </w:r>
          </w:p>
        </w:tc>
        <w:tc>
          <w:tcPr>
            <w:tcW w:type="dxa" w:w="374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无摄像头、无个人数据；全程 ≤ 12 V；仪表板中英双语、状态三重编码</w:t>
            </w:r>
          </w:p>
        </w:tc>
        <w:tc>
          <w:tcPr>
            <w:tcW w:type="dxa" w:w="215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伦理 / 隐私 / 安全筛查表</w:t>
            </w:r>
          </w:p>
        </w:tc>
      </w:tr>
      <w:tr>
        <w:tc>
          <w:tcPr>
            <w:tcW w:type="dxa" w:w="306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跨国部署：讨论在 UL 与 LICHPU 复制的可能性</w:t>
            </w:r>
          </w:p>
        </w:tc>
        <w:tc>
          <w:tcPr>
            <w:tcW w:type="dxa" w:w="3742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沿用提案文件第十章；方案 B 器件两地更易采购，复制门槛更低</w:t>
            </w:r>
          </w:p>
        </w:tc>
        <w:tc>
          <w:tcPr>
            <w:tcW w:type="dxa" w:w="215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对照表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十、取舍与局限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手册的“优秀”评价档明确要求“诚实地陈述局限性”。以下内容应当直接写入最终报告的“讨论、局限性与经验教训”一节。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28　方案 B 的局限与应对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1928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局限</w:t>
            </w:r>
          </w:p>
        </w:tc>
        <w:tc>
          <w:tcPr>
            <w:tcW w:type="dxa" w:w="249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影响</w:t>
            </w:r>
          </w:p>
        </w:tc>
        <w:tc>
          <w:tcPr>
            <w:tcW w:type="dxa" w:w="453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缓解措施与报告中的表述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无转速传感器，不能做阶次归一化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转速波动较大时判据会退化，仅在额定转速附近可靠</w:t>
            </w:r>
          </w:p>
        </w:tc>
        <w:tc>
          <w:tcPr>
            <w:tcW w:type="dxa" w:w="45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台架风机转速稳定；报告中写为“假定恒转速工况下的变化识别”，并用转速变化实验量化该假设的边界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无包络解调，对轴承早期点蚀不敏感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无法在缺陷极早期发现轴承问题</w:t>
            </w:r>
          </w:p>
        </w:tc>
        <w:tc>
          <w:tcPr>
            <w:tcW w:type="dxa" w:w="45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定位为识别不平衡、积尘、松动、负载变化四类——恰好是校园风机最常见故障；轴承诊断列为未来工作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ESP32 无硬件 RTC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断网时时间戳退化为“运行时长”</w:t>
            </w:r>
          </w:p>
        </w:tc>
        <w:tc>
          <w:tcPr>
            <w:tcW w:type="dxa" w:w="45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联网时用 NTP 同步；补传时以服务器接收时间标记；可选加装 DS3231（约 ¥8）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本地无显示屏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现场判读需连接手机或电脑</w:t>
            </w:r>
          </w:p>
        </w:tc>
        <w:tc>
          <w:tcPr>
            <w:tcW w:type="dxa" w:w="45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演示时投大屏更直观；RGB LED + 蜂鸣器提供无网络时的最低限度指示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技术深度低于方案 A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评估组成 C（25 %）的观感可能受影响</w:t>
            </w:r>
          </w:p>
        </w:tc>
        <w:tc>
          <w:tcPr>
            <w:tcW w:type="dxa" w:w="45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答辩时主动陈述取舍依据与升级路径（第十二章），把工程判断作为加分点</w:t>
            </w:r>
          </w:p>
        </w:tc>
      </w:tr>
      <w:tr>
        <w:tc>
          <w:tcPr>
            <w:tcW w:type="dxa" w:w="1928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Node-RED 依赖笔记本在线</w:t>
            </w:r>
          </w:p>
        </w:tc>
        <w:tc>
          <w:tcPr>
            <w:tcW w:type="dxa" w:w="2494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笔记本不在线时看不到实时界面</w:t>
            </w:r>
          </w:p>
        </w:tc>
        <w:tc>
          <w:tcPr>
            <w:tcW w:type="dxa" w:w="453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节点侧 microSD 独立留存历史，补传后数据不丢；历史要求不依赖服务端在线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十一、需求变更清单</w:t>
      </w:r>
    </w:p>
    <w:p>
      <w:pPr>
        <w:spacing w:after="80"/>
        <w:ind w:firstLine="420"/>
        <w:jc w:val="both"/>
      </w:pPr>
      <w:r>
        <w:rPr>
          <w:rFonts w:ascii="Times New Roman" w:hAnsi="Times New Roman" w:eastAsia="宋体"/>
          <w:b w:val="0"/>
          <w:color w:val="202020"/>
          <w:sz w:val="21"/>
        </w:rPr>
        <w:t>按受控文档流程，需求变更须逐条登记并说明理由；本清单同时应记入受控文档台账的「8-变更记录」工作表。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29　需求与验收标准变更清单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96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编号</w:t>
            </w:r>
          </w:p>
        </w:tc>
        <w:tc>
          <w:tcPr>
            <w:tcW w:type="dxa" w:w="124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变更类型</w:t>
            </w:r>
          </w:p>
        </w:tc>
        <w:tc>
          <w:tcPr>
            <w:tcW w:type="dxa" w:w="4195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变更后内容</w:t>
            </w:r>
          </w:p>
        </w:tc>
        <w:tc>
          <w:tcPr>
            <w:tcW w:type="dxa" w:w="255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6"/>
              </w:rPr>
              <w:t>理由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FR-01</w:t>
            </w:r>
          </w:p>
        </w:tc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修订</w:t>
            </w:r>
          </w:p>
        </w:tc>
        <w:tc>
          <w:tcPr>
            <w:tcW w:type="dxa" w:w="419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由“至少 3 路输入”改为“振动 + 温度两路输入”</w:t>
            </w:r>
          </w:p>
        </w:tc>
        <w:tc>
          <w:tcPr>
            <w:tcW w:type="dxa" w:w="255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手册下限为两路；减少接线与固件复杂度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FR-05</w:t>
            </w:r>
          </w:p>
        </w:tc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删除</w:t>
            </w:r>
          </w:p>
        </w:tc>
        <w:tc>
          <w:tcPr>
            <w:tcW w:type="dxa" w:w="419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不再要求阶次归一化与转速分档</w:t>
            </w:r>
          </w:p>
        </w:tc>
        <w:tc>
          <w:tcPr>
            <w:tcW w:type="dxa" w:w="255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无转速传感器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FR-03</w:t>
            </w:r>
          </w:p>
        </w:tc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收窄</w:t>
            </w:r>
          </w:p>
        </w:tc>
        <w:tc>
          <w:tcPr>
            <w:tcW w:type="dxa" w:w="419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保留 RMS、峰值、速度有效值；峭度与峰值因子可选</w:t>
            </w:r>
          </w:p>
        </w:tc>
        <w:tc>
          <w:tcPr>
            <w:tcW w:type="dxa" w:w="255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降低算法代码量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FR-06</w:t>
            </w:r>
          </w:p>
        </w:tc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修订</w:t>
            </w:r>
          </w:p>
        </w:tc>
        <w:tc>
          <w:tcPr>
            <w:tcW w:type="dxa" w:w="419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偏离度由多指标 z 分数改为振动 RMS 的 μ + kσ 判据</w:t>
            </w:r>
          </w:p>
        </w:tc>
        <w:tc>
          <w:tcPr>
            <w:tcW w:type="dxa" w:w="255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单基线逻辑更直观、易调试、易解释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FR-11</w:t>
            </w:r>
          </w:p>
        </w:tc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修订</w:t>
            </w:r>
          </w:p>
        </w:tc>
        <w:tc>
          <w:tcPr>
            <w:tcW w:type="dxa" w:w="419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本地指示由 OLED + 声光改为 RGB LED + 蜂鸣器</w:t>
            </w:r>
          </w:p>
        </w:tc>
        <w:tc>
          <w:tcPr>
            <w:tcW w:type="dxa" w:w="255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去掉显示驱动与多页界面逻辑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FR-13</w:t>
            </w:r>
          </w:p>
        </w:tc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保留</w:t>
            </w:r>
          </w:p>
        </w:tc>
        <w:tc>
          <w:tcPr>
            <w:tcW w:type="dxa" w:w="419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远程阈值下发与基线重学（Node-RED 侧实现）</w:t>
            </w:r>
          </w:p>
        </w:tc>
        <w:tc>
          <w:tcPr>
            <w:tcW w:type="dxa" w:w="255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实现成本低，保留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NFR-05</w:t>
            </w:r>
          </w:p>
        </w:tc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修订</w:t>
            </w:r>
          </w:p>
        </w:tc>
        <w:tc>
          <w:tcPr>
            <w:tcW w:type="dxa" w:w="419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单节点成本上限由 ≤ ¥400 改为 ≤ ¥250（含耗材）</w:t>
            </w:r>
          </w:p>
        </w:tc>
        <w:tc>
          <w:tcPr>
            <w:tcW w:type="dxa" w:w="255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本手册实测 ¥211（含耗材）/ ¥232（含备件）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AC-05</w:t>
            </w:r>
          </w:p>
        </w:tc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删除</w:t>
            </w:r>
          </w:p>
        </w:tc>
        <w:tc>
          <w:tcPr>
            <w:tcW w:type="dxa" w:w="419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删除转速测量准确度验收项</w:t>
            </w:r>
          </w:p>
        </w:tc>
        <w:tc>
          <w:tcPr>
            <w:tcW w:type="dxa" w:w="255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随 FR-05 删除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AC-06</w:t>
            </w:r>
          </w:p>
        </w:tc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删除</w:t>
            </w:r>
          </w:p>
        </w:tc>
        <w:tc>
          <w:tcPr>
            <w:tcW w:type="dxa" w:w="419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删除阶次识别能力验收项</w:t>
            </w:r>
          </w:p>
        </w:tc>
        <w:tc>
          <w:tcPr>
            <w:tcW w:type="dxa" w:w="255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随 FR-05 删除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AC-07</w:t>
            </w:r>
          </w:p>
        </w:tc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保留</w:t>
            </w:r>
          </w:p>
        </w:tc>
        <w:tc>
          <w:tcPr>
            <w:tcW w:type="dxa" w:w="419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3 类工况变化中至少 2 类在 60 s 内检出并分级正确</w:t>
            </w:r>
          </w:p>
        </w:tc>
        <w:tc>
          <w:tcPr>
            <w:tcW w:type="dxa" w:w="255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核心验证目标不变</w:t>
            </w:r>
          </w:p>
        </w:tc>
      </w:tr>
      <w:tr>
        <w:tc>
          <w:tcPr>
            <w:tcW w:type="dxa" w:w="96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AC-13</w:t>
            </w:r>
          </w:p>
        </w:tc>
        <w:tc>
          <w:tcPr>
            <w:tcW w:type="dxa" w:w="124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修订</w:t>
            </w:r>
          </w:p>
        </w:tc>
        <w:tc>
          <w:tcPr>
            <w:tcW w:type="dxa" w:w="4195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单节点成本判据改为 ≤ ¥250</w:t>
            </w:r>
          </w:p>
        </w:tc>
        <w:tc>
          <w:tcPr>
            <w:tcW w:type="dxa" w:w="2551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6"/>
              </w:rPr>
              <w:t>与 NFR-05 一致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Arial" w:hAnsi="Arial" w:eastAsia="黑体"/>
          <w:b/>
          <w:color w:val="1F3B63"/>
          <w:sz w:val="30"/>
        </w:rPr>
        <w:t>十二、升级路径</w:t>
      </w:r>
    </w:p>
    <w:p>
      <w:pPr>
        <w:keepNext/>
        <w:spacing w:before="120" w:after="40"/>
        <w:jc w:val="center"/>
      </w:pPr>
      <w:r>
        <w:rPr>
          <w:rFonts w:ascii="Times New Roman" w:hAnsi="Times New Roman" w:eastAsia="黑体"/>
          <w:b/>
          <w:color w:val="1F3B63"/>
          <w:sz w:val="19"/>
        </w:rPr>
        <w:t>表 30　从方案 B 升级到方案 A 的增量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737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步骤</w:t>
            </w:r>
          </w:p>
        </w:tc>
        <w:tc>
          <w:tcPr>
            <w:tcW w:type="dxa" w:w="5046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动作</w:t>
            </w:r>
          </w:p>
        </w:tc>
        <w:tc>
          <w:tcPr>
            <w:tcW w:type="dxa" w:w="1644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增加成本</w:t>
            </w:r>
          </w:p>
        </w:tc>
        <w:tc>
          <w:tcPr>
            <w:tcW w:type="dxa" w:w="1701"/>
            <w:shd w:val="clear" w:fill="DEEBF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color w:val="202020"/>
                <w:sz w:val="17"/>
              </w:rPr>
              <w:t>增加工作量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</w:t>
            </w:r>
          </w:p>
        </w:tc>
        <w:tc>
          <w:tcPr>
            <w:tcW w:type="dxa" w:w="504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加装光电 / 霍尔转速传感器，用中断 + micros() 测周期</w:t>
            </w:r>
          </w:p>
        </w:tc>
        <w:tc>
          <w:tcPr>
            <w:tcW w:type="dxa" w:w="164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¥5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 ~ 2 天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</w:t>
            </w:r>
          </w:p>
        </w:tc>
        <w:tc>
          <w:tcPr>
            <w:tcW w:type="dxa" w:w="504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加入转速分档基线与阶次谱</w:t>
            </w:r>
          </w:p>
        </w:tc>
        <w:tc>
          <w:tcPr>
            <w:tcW w:type="dxa" w:w="164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¥0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 ~ 3 天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3</w:t>
            </w:r>
          </w:p>
        </w:tc>
        <w:tc>
          <w:tcPr>
            <w:tcW w:type="dxa" w:w="504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加入包络解调（可在笔记本侧用 Python 离线做）</w:t>
            </w:r>
          </w:p>
        </w:tc>
        <w:tc>
          <w:tcPr>
            <w:tcW w:type="dxa" w:w="164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¥0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2 ~ 3 天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4</w:t>
            </w:r>
          </w:p>
        </w:tc>
        <w:tc>
          <w:tcPr>
            <w:tcW w:type="dxa" w:w="504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加装 OLED 本地界面（可选）</w:t>
            </w:r>
          </w:p>
        </w:tc>
        <w:tc>
          <w:tcPr>
            <w:tcW w:type="dxa" w:w="164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¥12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 ~ 2 天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5</w:t>
            </w:r>
          </w:p>
        </w:tc>
        <w:tc>
          <w:tcPr>
            <w:tcW w:type="dxa" w:w="504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服务端由 Node-RED 升级为 InfluxDB + Grafana</w:t>
            </w:r>
          </w:p>
        </w:tc>
        <w:tc>
          <w:tcPr>
            <w:tcW w:type="dxa" w:w="164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¥0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1 ~ 2 天</w:t>
            </w:r>
          </w:p>
        </w:tc>
      </w:tr>
      <w:tr>
        <w:tc>
          <w:tcPr>
            <w:tcW w:type="dxa" w:w="737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6</w:t>
            </w:r>
          </w:p>
        </w:tc>
        <w:tc>
          <w:tcPr>
            <w:tcW w:type="dxa" w:w="5046"/>
          </w:tcPr>
          <w:p>
            <w:pPr>
              <w:spacing w:after="20" w:before="20" w:line="264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部署到校园真实风机，进行 4 周试运行</w:t>
            </w:r>
          </w:p>
        </w:tc>
        <w:tc>
          <w:tcPr>
            <w:tcW w:type="dxa" w:w="1644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¥0（复用现有节点）</w:t>
            </w:r>
          </w:p>
        </w:tc>
        <w:tc>
          <w:tcPr>
            <w:tcW w:type="dxa" w:w="1701"/>
          </w:tcPr>
          <w:p>
            <w:pPr>
              <w:spacing w:after="20" w:before="20" w:line="264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202020"/>
                <w:sz w:val="17"/>
              </w:rPr>
              <w:t>持续运行 + 每周巡检</w:t>
            </w:r>
          </w:p>
        </w:tc>
      </w:tr>
    </w:tbl>
    <w:p>
      <w:pPr>
        <w:spacing w:after="0"/>
      </w:pPr>
    </w:p>
    <w:p>
      <w:pPr>
        <w:spacing w:before="240"/>
        <w:jc w:val="center"/>
      </w:pPr>
      <w:r>
        <w:rPr>
          <w:rFonts w:ascii="Times New Roman" w:hAnsi="Times New Roman" w:eastAsia="黑体"/>
          <w:b w:val="0"/>
          <w:color w:val="707070"/>
          <w:sz w:val="20"/>
        </w:rPr>
        <w:t>（方案 B 实施手册完）</w:t>
      </w:r>
    </w:p>
    <w:sectPr w:rsidR="00FC693F" w:rsidRPr="0006063C" w:rsidSect="00034616">
      <w:footerReference w:type="default" r:id="rId9"/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202020"/>
        <w:sz w:val="16"/>
      </w:rPr>
      <w:t xml:space="preserve">项目 8.1 振动状态监测器 · 方案 B 实施手册　第 </w:t>
    </w:r>
    <w:r>
      <w:rPr>
        <w:rFonts w:ascii="Times New Roman" w:hAnsi="Times New Roman" w:eastAsia="宋体"/>
        <w:b w:val="0"/>
        <w:color w:val="202020"/>
        <w:sz w:val="16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b w:val="0"/>
        <w:color w:val="202020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Times New Roman" w:hAnsi="Times New Roman" w:eastAsia="宋体"/>
      <w:b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 w:line="276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76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F3B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 w:line="276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F3B6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