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21gguau0f7o" w:id="0"/>
      <w:bookmarkEnd w:id="0"/>
      <w:r w:rsidDel="00000000" w:rsidR="00000000" w:rsidRPr="00000000">
        <w:rPr>
          <w:b w:val="1"/>
          <w:bCs w:val="1"/>
          <w:sz w:val="46"/>
          <w:szCs w:val="46"/>
          <w:rtl w:val="0"/>
        </w:rPr>
        <w:t xml:space="preserve">Análisis del Sector Agroindustrial y Gestión de Recursos Hídricos: El Escenario de Sinaloa y el Norte de México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51xi2n6so1a" w:id="1"/>
      <w:bookmarkEnd w:id="1"/>
      <w:r w:rsidDel="00000000" w:rsidR="00000000" w:rsidRPr="00000000">
        <w:rPr>
          <w:b w:val="1"/>
          <w:bCs w:val="1"/>
          <w:sz w:val="34"/>
          <w:szCs w:val="34"/>
          <w:rtl w:val="0"/>
        </w:rPr>
        <w:t xml:space="preserve">1. Contexto Estratégico y Liderazgo Productivo Nacional</w:t>
      </w:r>
    </w:p>
    <w:p w:rsidR="00000000" w:rsidDel="00000000" w:rsidP="00000000" w:rsidRDefault="00000000" w:rsidRPr="00000000" w14:paraId="00000003">
      <w:pPr>
        <w:spacing w:after="240" w:before="240" w:lineRule="auto"/>
        <w:rPr/>
      </w:pPr>
      <w:r w:rsidDel="00000000" w:rsidR="00000000" w:rsidRPr="00000000">
        <w:rPr>
          <w:rtl w:val="0"/>
        </w:rPr>
        <w:t xml:space="preserve">El sector agroindustrial en el norte del país, y particularmente en el estado de Sinaloa —considerado históricamente como "el granero de México"—, constituye el pilar de la seguridad alimentaria nacional. Este liderazgo se sustenta en la agricultura de riego, cuya productividad es de 2 a 3 veces superior a la de temporal. Según datos de 2014, el valor de la producción bajo riego ascendió a $152,310,412 (miles de MXN), frente a los $86,248,692 (miles de MXN) generados por la agricultura de temporal, a pesar de que esta última cuenta con una superficie cosechada significativamente mayor.</w:t>
      </w:r>
    </w:p>
    <w:p w:rsidR="00000000" w:rsidDel="00000000" w:rsidP="00000000" w:rsidRDefault="00000000" w:rsidRPr="00000000" w14:paraId="00000004">
      <w:pPr>
        <w:spacing w:after="240" w:before="240" w:lineRule="auto"/>
        <w:rPr/>
      </w:pPr>
      <w:r w:rsidDel="00000000" w:rsidR="00000000" w:rsidRPr="00000000">
        <w:rPr>
          <w:rtl w:val="0"/>
        </w:rPr>
        <w:t xml:space="preserve">Esta preeminencia económica implica una presión proporcional sobre los recursos hídricos. A nivel nacional, el sector agropecuario es el principal consumidor, ostentando en 2020 el 76% del total del agua concesionada. La vulnerabilidad de Sinaloa y el resto de los estados norteños es crítica debido a una asimetría geográfica: mientras el centro y sur concentran la mayor parte de los escurrimientos, solo el 29% del agua superficial se ubica en la zona norte. Esta escasez natural obliga a una dependencia total de infraestructuras hidráulicas complejas y a una gestión estratégica de alta precisión.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f83rwebejh8" w:id="2"/>
      <w:bookmarkEnd w:id="2"/>
      <w:r w:rsidDel="00000000" w:rsidR="00000000" w:rsidRPr="00000000">
        <w:rPr>
          <w:b w:val="1"/>
          <w:bCs w:val="1"/>
          <w:sz w:val="34"/>
          <w:szCs w:val="34"/>
          <w:rtl w:val="0"/>
        </w:rPr>
        <w:t xml:space="preserve">2. Diagnóstico Hídrico: Disponibilidad y Fenómenos Climáticos</w:t>
      </w:r>
    </w:p>
    <w:p w:rsidR="00000000" w:rsidDel="00000000" w:rsidP="00000000" w:rsidRDefault="00000000" w:rsidRPr="00000000" w14:paraId="00000006">
      <w:pPr>
        <w:spacing w:after="240" w:before="240" w:lineRule="auto"/>
        <w:rPr/>
      </w:pPr>
      <w:r w:rsidDel="00000000" w:rsidR="00000000" w:rsidRPr="00000000">
        <w:rPr>
          <w:rtl w:val="0"/>
        </w:rPr>
        <w:t xml:space="preserve">La disponibilidad hídrica en México presenta una tendencia decreciente que amenaza la viabilidad operativa de los distritos de riego. La reducción del recurso per cápita es un indicador de la urgencia de transitar hacia modelos de uso eficiente.</w:t>
      </w:r>
    </w:p>
    <w:tbl>
      <w:tblPr>
        <w:tblStyle w:val="Table1"/>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44.0750830316829"/>
        <w:gridCol w:w="3212.8730828077773"/>
        <w:gridCol w:w="3968.563645184163"/>
        <w:tblGridChange w:id="0">
          <w:tblGrid>
            <w:gridCol w:w="1844.0750830316829"/>
            <w:gridCol w:w="3212.8730828077773"/>
            <w:gridCol w:w="3968.563645184163"/>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Año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Disponibilidad anual per cápita (m³)</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Observación Estratégica</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1960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10,000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Disponibilidad histórica alta</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2012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4,000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Descenso por presión demográfica y climática</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2030 (Proyección)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&lt; 3,000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Escenario de escasez crítica</w:t>
            </w:r>
          </w:p>
        </w:tc>
      </w:tr>
    </w:tbl>
    <w:p w:rsidR="00000000" w:rsidDel="00000000" w:rsidP="00000000" w:rsidRDefault="00000000" w:rsidRPr="00000000" w14:paraId="00000013">
      <w:pPr>
        <w:spacing w:after="240" w:before="240" w:lineRule="auto"/>
        <w:rPr/>
      </w:pPr>
      <w:r w:rsidDel="00000000" w:rsidR="00000000" w:rsidRPr="00000000">
        <w:rPr>
          <w:rtl w:val="0"/>
        </w:rPr>
        <w:t xml:space="preserve">Este diagnóstico se agrava por la recurrencia de sequías en las regiones norte y centro. En 2021, el 71% de estos eventos fueron clasificados como "severos", con un riesgo inminente de pérdida de cultivos; el 26% fueron "extremos" y un 3% "excepcionales", provocando la escasez total en embalses y pozos. Adicionalmente, la calidad del agua superficial disponible se ve comprometida por vertidos de aguas residuales agrícolas y ganaderas que introducen agroquímicos y sales, deteriorando los ecosistemas y limitando su reutilización.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co6c1kdwxc69" w:id="3"/>
      <w:bookmarkEnd w:id="3"/>
      <w:r w:rsidDel="00000000" w:rsidR="00000000" w:rsidRPr="00000000">
        <w:rPr>
          <w:b w:val="1"/>
          <w:bCs w:val="1"/>
          <w:sz w:val="34"/>
          <w:szCs w:val="34"/>
          <w:rtl w:val="0"/>
        </w:rPr>
        <w:t xml:space="preserve">3. Problemática de los Acuíferos y Desafíos de la Explotación</w:t>
      </w:r>
    </w:p>
    <w:p w:rsidR="00000000" w:rsidDel="00000000" w:rsidP="00000000" w:rsidRDefault="00000000" w:rsidRPr="00000000" w14:paraId="00000015">
      <w:pPr>
        <w:spacing w:after="240" w:before="240" w:lineRule="auto"/>
        <w:rPr/>
      </w:pPr>
      <w:r w:rsidDel="00000000" w:rsidR="00000000" w:rsidRPr="00000000">
        <w:rPr>
          <w:rtl w:val="0"/>
        </w:rPr>
        <w:t xml:space="preserve">Ante la insuficiencia de agua superficial, la agroindustria ha recurrido intensivamente a fuentes subterráneas. De los 653 acuíferos delimitados por la Comisión Nacional del Agua (CONAGUA), 106 se encuentran sobreexplotados (datos de 2013), con extracciones que superan con creces la recarga media.</w:t>
      </w:r>
    </w:p>
    <w:p w:rsidR="00000000" w:rsidDel="00000000" w:rsidP="00000000" w:rsidRDefault="00000000" w:rsidRPr="00000000" w14:paraId="00000016">
      <w:pPr>
        <w:spacing w:after="240" w:before="240" w:lineRule="auto"/>
        <w:rPr/>
      </w:pPr>
      <w:r w:rsidDel="00000000" w:rsidR="00000000" w:rsidRPr="00000000">
        <w:rPr>
          <w:rtl w:val="0"/>
        </w:rPr>
        <w:t xml:space="preserve">La explotación irracional del subsuelo genera desafíos que impactan directamente en la rentabilidad del productor:</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Costes operativos:</w:t>
      </w:r>
      <w:r w:rsidDel="00000000" w:rsidR="00000000" w:rsidRPr="00000000">
        <w:rPr>
          <w:rtl w:val="0"/>
        </w:rPr>
        <w:t xml:space="preserve"> El abatimiento de los niveles piezométricos obliga a perforaciones que superan los 200 metros en zonas del norte y noroeste, elevando exponencialmente los costes de energía eléctrica para el bombeo.</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Degradación del recurso:</w:t>
      </w:r>
      <w:r w:rsidDel="00000000" w:rsidR="00000000" w:rsidRPr="00000000">
        <w:rPr>
          <w:rtl w:val="0"/>
        </w:rPr>
        <w:t xml:space="preserve"> La sobreexplotación ha derivado en el ensalitramiento de suelos (afectando al 5% de los acuíferos), intrusión marina (3%) y hundimientos del terreno, factores que representan una sentencia de muerte para cultivos de alto valor.</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Incertidumbre en la gestión:</w:t>
      </w:r>
      <w:r w:rsidDel="00000000" w:rsidR="00000000" w:rsidRPr="00000000">
        <w:rPr>
          <w:rtl w:val="0"/>
        </w:rPr>
        <w:t xml:space="preserve"> Palacios-Vélez y Escobar-Villagrán (2016) advierten que "es difícil evaluar de forma correcta el grado de sobreexplotación, debido a la gran incertidumbre en la estimación de los valores de los componentes del balance hidrológico" (p. 13). Esta falta de precisión en los censos de pozos y mediciones de caudal impide una planificación hídrica basada en evidencia técnica sólida.</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ekx5t2hyqtk" w:id="4"/>
      <w:bookmarkEnd w:id="4"/>
      <w:r w:rsidDel="00000000" w:rsidR="00000000" w:rsidRPr="00000000">
        <w:rPr>
          <w:b w:val="1"/>
          <w:bCs w:val="1"/>
          <w:sz w:val="34"/>
          <w:szCs w:val="34"/>
          <w:rtl w:val="0"/>
        </w:rPr>
        <w:t xml:space="preserve">4. Innovación Tecnológica para el Monitoreo Agrícola</w:t>
      </w:r>
    </w:p>
    <w:p w:rsidR="00000000" w:rsidDel="00000000" w:rsidP="00000000" w:rsidRDefault="00000000" w:rsidRPr="00000000" w14:paraId="0000001B">
      <w:pPr>
        <w:spacing w:after="240" w:before="240" w:lineRule="auto"/>
        <w:rPr/>
      </w:pPr>
      <w:r w:rsidDel="00000000" w:rsidR="00000000" w:rsidRPr="00000000">
        <w:rPr>
          <w:rtl w:val="0"/>
        </w:rPr>
        <w:t xml:space="preserve">La optimización del riego y la fertilización en zonas extensas exige la adopción de herramientas de monitoreo fisiológico continuo. El dendrómetro potenciométrico desarrollado por la Universidad de Huelva (Modelo 1067763Y) destaca como una solución técnica de bajo coste y alta fidelidad para el monitoreo del estado hídrico de la planta.</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Especificaciones Técnicas y Capacidades: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Precisión Micrométrica:</w:t>
      </w:r>
      <w:r w:rsidDel="00000000" w:rsidR="00000000" w:rsidRPr="00000000">
        <w:rPr>
          <w:rtl w:val="0"/>
        </w:rPr>
        <w:t xml:space="preserve"> Resolución de 2.44 micras con una relación tensión-longitud de 1 mV = 4 micras.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Versatilidad de Montaje:</w:t>
      </w:r>
      <w:r w:rsidDel="00000000" w:rsidR="00000000" w:rsidRPr="00000000">
        <w:rPr>
          <w:rtl w:val="0"/>
        </w:rPr>
        <w:t xml:space="preserve"> Para troncos de notable diámetro se utiliza un soporte con perfil en "L", mientras que en frutos o ramas de pequeño diámetro se emplea un soporte de abrazadera, asegurando la adaptabilidad a diversos cultivos comerciales.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Interpretación Biológica:</w:t>
      </w:r>
      <w:r w:rsidDel="00000000" w:rsidR="00000000" w:rsidRPr="00000000">
        <w:rPr>
          <w:rtl w:val="0"/>
        </w:rPr>
        <w:t xml:space="preserve"> El dispositivo registra los ciclos diarios de dilatación (recarga) y contracción (flujo de savia), permitiendo identificar periodos de actividad cambial (crecimiento) y estrés hídrico.</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Autonomía y Operatividad:</w:t>
      </w:r>
      <w:r w:rsidDel="00000000" w:rsidR="00000000" w:rsidRPr="00000000">
        <w:rPr>
          <w:rtl w:val="0"/>
        </w:rPr>
        <w:t xml:space="preserve"> Funciona hasta por 1 año con pilas de botón, sin necesidad de cables terrestres ni infraestructura eléctrica pesada, lo que facilita su instalación en parcelas con actividad ganadera o forestal.</w:t>
      </w:r>
    </w:p>
    <w:p w:rsidR="00000000" w:rsidDel="00000000" w:rsidP="00000000" w:rsidRDefault="00000000" w:rsidRPr="00000000" w14:paraId="00000021">
      <w:pPr>
        <w:spacing w:after="240" w:before="240" w:lineRule="auto"/>
        <w:rPr/>
      </w:pPr>
      <w:r w:rsidDel="00000000" w:rsidR="00000000" w:rsidRPr="00000000">
        <w:rPr>
          <w:rtl w:val="0"/>
        </w:rPr>
        <w:t xml:space="preserve">Según Vázquez-Piqué et al. (2009), esta tecnología "permite conocer a intervalos regulares el crecimiento del individuo... proporcionando una mayor sensibilidad al análisis" en comparación con los métodos manuales tradicionales.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s3f7dafw2cel" w:id="5"/>
      <w:bookmarkEnd w:id="5"/>
      <w:r w:rsidDel="00000000" w:rsidR="00000000" w:rsidRPr="00000000">
        <w:rPr>
          <w:b w:val="1"/>
          <w:bCs w:val="1"/>
          <w:sz w:val="34"/>
          <w:szCs w:val="34"/>
          <w:rtl w:val="0"/>
        </w:rPr>
        <w:t xml:space="preserve">5. Estrategias para la Sustentabilidad y Gestión Sectorial</w:t>
      </w:r>
    </w:p>
    <w:p w:rsidR="00000000" w:rsidDel="00000000" w:rsidP="00000000" w:rsidRDefault="00000000" w:rsidRPr="00000000" w14:paraId="00000023">
      <w:pPr>
        <w:spacing w:after="240" w:before="240" w:lineRule="auto"/>
        <w:rPr/>
      </w:pPr>
      <w:r w:rsidDel="00000000" w:rsidR="00000000" w:rsidRPr="00000000">
        <w:rPr>
          <w:rtl w:val="0"/>
        </w:rPr>
        <w:t xml:space="preserve">La viabilidad de Sinaloa y el norte de México depende de alcanzar la "Gran Transición" propuesta por Raskin (2002), un escenario de cambios estructurales que evite el colapso social y económico derivado de la escasez.</w:t>
      </w:r>
    </w:p>
    <w:p w:rsidR="00000000" w:rsidDel="00000000" w:rsidP="00000000" w:rsidRDefault="00000000" w:rsidRPr="00000000" w14:paraId="00000024">
      <w:pPr>
        <w:spacing w:after="240" w:before="240" w:lineRule="auto"/>
        <w:rPr/>
      </w:pPr>
      <w:r w:rsidDel="00000000" w:rsidR="00000000" w:rsidRPr="00000000">
        <w:rPr>
          <w:rtl w:val="0"/>
        </w:rPr>
        <w:t xml:space="preserve">La adopción de tecnología de precisión, como el dendrómetro de Huelva, es el prerrequisito técnico para la viabilidad de las políticas hídricas. Al permitir al productor identificar el estado hídrico exacto de la planta, se optimiza el riego, permitiendo que la necesaria reducción de subsidios eléctricos para el bombeo —medida clave para desincentivar el desperdicio— sea económicamente sostenible para la agroindustria.</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Acciones Operativas Propuestas: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Gobernanza participativa:</w:t>
      </w:r>
      <w:r w:rsidDel="00000000" w:rsidR="00000000" w:rsidRPr="00000000">
        <w:rPr>
          <w:rtl w:val="0"/>
        </w:rPr>
        <w:t xml:space="preserve"> Fortalecer los Comités Técnicos de Aguas Subterráneas (COTAS) para supervisar extracciones y cancelar pozos clandestinos.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Modernización de infraestructura:</w:t>
      </w:r>
      <w:r w:rsidDel="00000000" w:rsidR="00000000" w:rsidRPr="00000000">
        <w:rPr>
          <w:rtl w:val="0"/>
        </w:rPr>
        <w:t xml:space="preserve"> Invertir en sistemas para eliminar fugas y prevenir tomas ilegales en la red de distribución.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Financiamiento Climático:</w:t>
      </w:r>
      <w:r w:rsidDel="00000000" w:rsidR="00000000" w:rsidRPr="00000000">
        <w:rPr>
          <w:rtl w:val="0"/>
        </w:rPr>
        <w:t xml:space="preserve"> Implementar proyectos elegibles para bonos de carbono y recursos del Fondo Verde del Clima (GCF).</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Conciencia y Cultura de Pago:</w:t>
      </w:r>
      <w:r w:rsidDel="00000000" w:rsidR="00000000" w:rsidRPr="00000000">
        <w:rPr>
          <w:rtl w:val="0"/>
        </w:rPr>
        <w:t xml:space="preserve"> Reconocer el valor real del recurso. Como señalan Palacios-Vélez y Escobar-Villagrán (2016), "pobreza y desigualdad social son los principales obstáculos para el desarrollo sustentable", lo que obliga a diseñar políticas que integren la equidad con la eficiencia técnica.</w:t>
      </w:r>
    </w:p>
    <w:p w:rsidR="00000000" w:rsidDel="00000000" w:rsidP="00000000" w:rsidRDefault="00000000" w:rsidRPr="00000000" w14:paraId="0000002A">
      <w:pPr>
        <w:spacing w:after="240" w:before="240" w:lineRule="auto"/>
        <w:rPr/>
      </w:pPr>
      <w:r w:rsidDel="00000000" w:rsidR="00000000" w:rsidRPr="00000000">
        <w:rPr>
          <w:rtl w:val="0"/>
        </w:rPr>
        <w:t xml:space="preserve">Finalmente, tal como subraya el IMCO (2023), "México ya experimenta los efectos negativos de la falta de agua", lo que hace imperativa una transición inmediata hacia modelos de gestión basados en datos, monitoreo continuo y responsabilidad sectorial.</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srgx7qwwx7t5" w:id="6"/>
      <w:bookmarkEnd w:id="6"/>
      <w:r w:rsidDel="00000000" w:rsidR="00000000" w:rsidRPr="00000000">
        <w:rPr>
          <w:b w:val="1"/>
          <w:bCs w:val="1"/>
          <w:sz w:val="34"/>
          <w:szCs w:val="34"/>
          <w:rtl w:val="0"/>
        </w:rPr>
        <w:t xml:space="preserve">6. Bibliografía</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IMCO. (2023). </w:t>
      </w:r>
      <w:r w:rsidDel="00000000" w:rsidR="00000000" w:rsidRPr="00000000">
        <w:rPr>
          <w:i w:val="1"/>
          <w:iCs w:val="1"/>
          <w:rtl w:val="0"/>
        </w:rPr>
        <w:t xml:space="preserve">Situación del agua en México</w:t>
      </w:r>
      <w:r w:rsidDel="00000000" w:rsidR="00000000" w:rsidRPr="00000000">
        <w:rPr>
          <w:rtl w:val="0"/>
        </w:rPr>
        <w:t xml:space="preserve">.</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Ojeda Bustamante, W. (2010). </w:t>
      </w:r>
      <w:r w:rsidDel="00000000" w:rsidR="00000000" w:rsidRPr="00000000">
        <w:rPr>
          <w:i w:val="1"/>
          <w:iCs w:val="1"/>
          <w:rtl w:val="0"/>
        </w:rPr>
        <w:t xml:space="preserve">Vulnerabilidad de las grandes zonas de riego ante el cambio climático (RD-1004.1)</w:t>
      </w:r>
      <w:r w:rsidDel="00000000" w:rsidR="00000000" w:rsidRPr="00000000">
        <w:rPr>
          <w:rtl w:val="0"/>
        </w:rPr>
        <w:t xml:space="preserv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Palacios-Vélez, O. L., &amp; Escobar-Villagrán, B. S. (2016). La sustentabilidad de la agricultura de riego ante la sobreexplotación de acuíferos. </w:t>
      </w:r>
      <w:r w:rsidDel="00000000" w:rsidR="00000000" w:rsidRPr="00000000">
        <w:rPr>
          <w:i w:val="1"/>
          <w:iCs w:val="1"/>
          <w:rtl w:val="0"/>
        </w:rPr>
        <w:t xml:space="preserve">Tecnología y Ciencias del Agua</w:t>
      </w:r>
      <w:r w:rsidDel="00000000" w:rsidR="00000000" w:rsidRPr="00000000">
        <w:rPr>
          <w:rtl w:val="0"/>
        </w:rPr>
        <w:t xml:space="preserve">, 7(2), 5-16.</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Vázquez-Piqué, J., Tapias Martín, R., &amp; González-Pérez, A. (2009). Desarrollo, características y aplicaciones de un dendrómetro potenciométrico para la medición continua del crecimiento diametral de especies arbóreas. </w:t>
      </w:r>
      <w:r w:rsidDel="00000000" w:rsidR="00000000" w:rsidRPr="00000000">
        <w:rPr>
          <w:i w:val="1"/>
          <w:iCs w:val="1"/>
          <w:rtl w:val="0"/>
        </w:rPr>
        <w:t xml:space="preserve">5º Congreso Forestal Español</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