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i w:val="0"/>
          <w:color w:val="00467F"/>
          <w:sz w:val="56"/>
        </w:rPr>
        <w:t>MILPÍN</w:t>
      </w:r>
    </w:p>
    <w:p>
      <w:pPr>
        <w:jc w:val="center"/>
      </w:pPr>
      <w:r>
        <w:rPr>
          <w:rFonts w:ascii="Arial" w:hAnsi="Arial"/>
          <w:b w:val="0"/>
          <w:i w:val="0"/>
          <w:color w:val="404040"/>
          <w:sz w:val="26"/>
        </w:rPr>
        <w:t>Sistema de Apoyo a Decisiones para Optimización Hídrica Agrícola</w:t>
      </w:r>
    </w:p>
    <w:p>
      <w:pPr>
        <w:jc w:val="center"/>
      </w:pPr>
      <w:r>
        <w:rPr>
          <w:rFonts w:ascii="Arial" w:hAnsi="Arial"/>
          <w:b w:val="0"/>
          <w:i w:val="0"/>
          <w:color w:val="646464"/>
          <w:sz w:val="22"/>
        </w:rPr>
        <w:t>Valle del Yaqui · DR-041 · Módulo 3 · Sonora, México</w:t>
      </w:r>
    </w:p>
    <w:p>
      <w:pPr>
        <w:spacing w:before="80" w:after="80"/>
        <w:pBdr>
          <w:bottom w:val="single" w:sz="6" w:space="1" w:color="2E75B6"/>
        </w:pBdr>
      </w:pPr>
    </w:p>
    <w:p>
      <w:pPr>
        <w:jc w:val="center"/>
      </w:pPr>
      <w:r>
        <w:rPr>
          <w:rFonts w:ascii="Arial" w:hAnsi="Arial"/>
          <w:b/>
          <w:i w:val="0"/>
          <w:color w:val="0070C0"/>
          <w:sz w:val="26"/>
        </w:rPr>
        <w:t>GUIÓN DE EXPOSICIÓN — TERCER AVANCE · v2.0</w:t>
      </w:r>
    </w:p>
    <w:p>
      <w:pPr>
        <w:jc w:val="center"/>
      </w:pPr>
      <w:r>
        <w:rPr>
          <w:rFonts w:ascii="Arial" w:hAnsi="Arial"/>
          <w:b w:val="0"/>
          <w:i w:val="0"/>
          <w:color w:val="646464"/>
          <w:sz w:val="21"/>
        </w:rPr>
        <w:t>Duración objetivo: 12–15 minutos  ·  Presentadoras/es: Ximena · Erika · Omar</w:t>
      </w:r>
    </w:p>
    <w:p>
      <w:pPr>
        <w:spacing w:before="80" w:after="80"/>
        <w:pBdr>
          <w:bottom w:val="single" w:sz="6" w:space="1" w:color="2E75B6"/>
        </w:pBdr>
      </w:pPr>
    </w:p>
    <w:p>
      <w:pPr>
        <w:spacing w:before="240" w:after="80"/>
      </w:pPr>
      <w:r>
        <w:rPr>
          <w:rFonts w:ascii="Arial" w:hAnsi="Arial"/>
          <w:b/>
          <w:i w:val="0"/>
          <w:color w:val="00467F"/>
          <w:sz w:val="26"/>
        </w:rPr>
        <w:t>Arco narrativo general</w:t>
      </w:r>
    </w:p>
    <w:p>
      <w:pPr>
        <w:spacing w:before="40" w:after="80"/>
      </w:pPr>
      <w:r>
        <w:rPr>
          <w:rFonts w:ascii="Arial" w:hAnsi="Arial"/>
          <w:b w:val="0"/>
          <w:i w:val="0"/>
          <w:sz w:val="22"/>
        </w:rPr>
        <w:t>Esta exposición presenta el tercer avance de MILPÍN. A diferencia de la versión anterior, ya tenemos datos reales: 86.5% de ciclos con sobre-riego, distribución log-normal del consumo, validación FAO-56 con métricas concretas, pipeline ML con comparación de modelos incluyendo redes neuronales, y el sistema de voz funcionando. El público debe salir convencido de que el análisis es riguroso, los modelos están validados y el sistema es usable.</w:t>
      </w:r>
    </w:p>
    <w:p>
      <w:pPr>
        <w:spacing w:before="240" w:after="80"/>
      </w:pPr>
      <w:r>
        <w:rPr>
          <w:rFonts w:ascii="Arial" w:hAnsi="Arial"/>
          <w:b/>
          <w:i w:val="0"/>
          <w:color w:val="00467F"/>
          <w:sz w:val="26"/>
        </w:rPr>
        <w:t>Distribución de tiempo por speaker</w:t>
      </w:r>
    </w:p>
    <w:tbl>
      <w:tblPr>
        <w:tblStyle w:val="TableGrid"/>
        <w:tblW w:type="auto" w:w="0"/>
        <w:tblLook w:firstColumn="1" w:firstRow="1" w:lastColumn="0" w:lastRow="0" w:noHBand="0" w:noVBand="1" w:val="04A0"/>
      </w:tblPr>
      <w:tblGrid>
        <w:gridCol w:w="2160"/>
        <w:gridCol w:w="2160"/>
        <w:gridCol w:w="2160"/>
        <w:gridCol w:w="2160"/>
      </w:tblGrid>
      <w:tr>
        <w:tc>
          <w:tcPr>
            <w:tcW w:type="dxa" w:w="1701"/>
            <w:shd w:val="clear" w:color="auto" w:fill="00466F"/>
          </w:tcPr>
          <w:p>
            <w:r>
              <w:rPr>
                <w:rFonts w:ascii="Arial" w:hAnsi="Arial"/>
                <w:b/>
                <w:i w:val="0"/>
                <w:color w:val="FFFFFF"/>
                <w:sz w:val="20"/>
              </w:rPr>
              <w:t>Speaker</w:t>
            </w:r>
          </w:p>
        </w:tc>
        <w:tc>
          <w:tcPr>
            <w:tcW w:type="dxa" w:w="4535"/>
            <w:shd w:val="clear" w:color="auto" w:fill="00466F"/>
          </w:tcPr>
          <w:p>
            <w:r>
              <w:rPr>
                <w:rFonts w:ascii="Arial" w:hAnsi="Arial"/>
                <w:b/>
                <w:i w:val="0"/>
                <w:color w:val="FFFFFF"/>
                <w:sz w:val="20"/>
              </w:rPr>
              <w:t>Sección</w:t>
            </w:r>
          </w:p>
        </w:tc>
        <w:tc>
          <w:tcPr>
            <w:tcW w:type="dxa" w:w="1417"/>
            <w:shd w:val="clear" w:color="auto" w:fill="00466F"/>
          </w:tcPr>
          <w:p>
            <w:r>
              <w:rPr>
                <w:rFonts w:ascii="Arial" w:hAnsi="Arial"/>
                <w:b/>
                <w:i w:val="0"/>
                <w:color w:val="FFFFFF"/>
                <w:sz w:val="20"/>
              </w:rPr>
              <w:t>Slides</w:t>
            </w:r>
          </w:p>
        </w:tc>
        <w:tc>
          <w:tcPr>
            <w:tcW w:type="dxa" w:w="1417"/>
            <w:shd w:val="clear" w:color="auto" w:fill="00466F"/>
          </w:tcPr>
          <w:p>
            <w:r>
              <w:rPr>
                <w:rFonts w:ascii="Arial" w:hAnsi="Arial"/>
                <w:b/>
                <w:i w:val="0"/>
                <w:color w:val="FFFFFF"/>
                <w:sz w:val="20"/>
              </w:rPr>
              <w:t>Tiempo</w:t>
            </w:r>
          </w:p>
        </w:tc>
      </w:tr>
      <w:tr>
        <w:tc>
          <w:tcPr>
            <w:tcW w:type="dxa" w:w="1701"/>
          </w:tcPr>
          <w:p>
            <w:r>
              <w:rPr>
                <w:rFonts w:ascii="Arial" w:hAnsi="Arial"/>
                <w:b w:val="0"/>
                <w:i w:val="0"/>
                <w:sz w:val="20"/>
              </w:rPr>
              <w:t>Ximena</w:t>
            </w:r>
          </w:p>
        </w:tc>
        <w:tc>
          <w:tcPr>
            <w:tcW w:type="dxa" w:w="4535"/>
          </w:tcPr>
          <w:p>
            <w:r>
              <w:rPr>
                <w:rFonts w:ascii="Arial" w:hAnsi="Arial"/>
                <w:b w:val="0"/>
                <w:i w:val="0"/>
                <w:sz w:val="20"/>
              </w:rPr>
              <w:t>Apertura + Modelo Canvas + KPIs + EDA</w:t>
            </w:r>
          </w:p>
        </w:tc>
        <w:tc>
          <w:tcPr>
            <w:tcW w:type="dxa" w:w="1417"/>
          </w:tcPr>
          <w:p>
            <w:r>
              <w:rPr>
                <w:rFonts w:ascii="Arial" w:hAnsi="Arial"/>
                <w:b w:val="0"/>
                <w:i w:val="0"/>
                <w:sz w:val="20"/>
              </w:rPr>
              <w:t>1–6</w:t>
            </w:r>
          </w:p>
        </w:tc>
        <w:tc>
          <w:tcPr>
            <w:tcW w:type="dxa" w:w="1417"/>
          </w:tcPr>
          <w:p>
            <w:r>
              <w:rPr>
                <w:rFonts w:ascii="Arial" w:hAnsi="Arial"/>
                <w:b w:val="0"/>
                <w:i w:val="0"/>
                <w:sz w:val="20"/>
              </w:rPr>
              <w:t>~4:00 min</w:t>
            </w:r>
          </w:p>
        </w:tc>
      </w:tr>
      <w:tr>
        <w:tc>
          <w:tcPr>
            <w:tcW w:type="dxa" w:w="1701"/>
          </w:tcPr>
          <w:p>
            <w:r>
              <w:rPr>
                <w:rFonts w:ascii="Arial" w:hAnsi="Arial"/>
                <w:b w:val="0"/>
                <w:i w:val="0"/>
                <w:sz w:val="20"/>
              </w:rPr>
              <w:t>Erika</w:t>
            </w:r>
          </w:p>
        </w:tc>
        <w:tc>
          <w:tcPr>
            <w:tcW w:type="dxa" w:w="4535"/>
          </w:tcPr>
          <w:p>
            <w:r>
              <w:rPr>
                <w:rFonts w:ascii="Arial" w:hAnsi="Arial"/>
                <w:b w:val="0"/>
                <w:i w:val="0"/>
                <w:sz w:val="20"/>
              </w:rPr>
              <w:t>Validación FAO-56 + Pipeline ML + Comparación modelos</w:t>
            </w:r>
          </w:p>
        </w:tc>
        <w:tc>
          <w:tcPr>
            <w:tcW w:type="dxa" w:w="1417"/>
          </w:tcPr>
          <w:p>
            <w:r>
              <w:rPr>
                <w:rFonts w:ascii="Arial" w:hAnsi="Arial"/>
                <w:b w:val="0"/>
                <w:i w:val="0"/>
                <w:sz w:val="20"/>
              </w:rPr>
              <w:t>7–12</w:t>
            </w:r>
          </w:p>
        </w:tc>
        <w:tc>
          <w:tcPr>
            <w:tcW w:type="dxa" w:w="1417"/>
          </w:tcPr>
          <w:p>
            <w:r>
              <w:rPr>
                <w:rFonts w:ascii="Arial" w:hAnsi="Arial"/>
                <w:b w:val="0"/>
                <w:i w:val="0"/>
                <w:sz w:val="20"/>
              </w:rPr>
              <w:t>~5:30 min</w:t>
            </w:r>
          </w:p>
        </w:tc>
      </w:tr>
      <w:tr>
        <w:tc>
          <w:tcPr>
            <w:tcW w:type="dxa" w:w="1701"/>
          </w:tcPr>
          <w:p>
            <w:r>
              <w:rPr>
                <w:rFonts w:ascii="Arial" w:hAnsi="Arial"/>
                <w:b w:val="0"/>
                <w:i w:val="0"/>
                <w:sz w:val="20"/>
              </w:rPr>
              <w:t>Omar</w:t>
            </w:r>
          </w:p>
        </w:tc>
        <w:tc>
          <w:tcPr>
            <w:tcW w:type="dxa" w:w="4535"/>
          </w:tcPr>
          <w:p>
            <w:r>
              <w:rPr>
                <w:rFonts w:ascii="Arial" w:hAnsi="Arial"/>
                <w:b w:val="0"/>
                <w:i w:val="0"/>
                <w:sz w:val="20"/>
              </w:rPr>
              <w:t>Resultados + Asistente de voz + Cierre</w:t>
            </w:r>
          </w:p>
        </w:tc>
        <w:tc>
          <w:tcPr>
            <w:tcW w:type="dxa" w:w="1417"/>
          </w:tcPr>
          <w:p>
            <w:r>
              <w:rPr>
                <w:rFonts w:ascii="Arial" w:hAnsi="Arial"/>
                <w:b w:val="0"/>
                <w:i w:val="0"/>
                <w:sz w:val="20"/>
              </w:rPr>
              <w:t>13–15</w:t>
            </w:r>
          </w:p>
        </w:tc>
        <w:tc>
          <w:tcPr>
            <w:tcW w:type="dxa" w:w="1417"/>
          </w:tcPr>
          <w:p>
            <w:r>
              <w:rPr>
                <w:rFonts w:ascii="Arial" w:hAnsi="Arial"/>
                <w:b w:val="0"/>
                <w:i w:val="0"/>
                <w:sz w:val="20"/>
              </w:rPr>
              <w:t>~3:30 min</w:t>
            </w:r>
          </w:p>
        </w:tc>
      </w:tr>
    </w:tbl>
    <w:p/>
    <w:p>
      <w:pPr>
        <w:spacing w:before="80" w:after="80"/>
        <w:pBdr>
          <w:bottom w:val="single" w:sz="6" w:space="1" w:color="00466F"/>
        </w:pBdr>
      </w:pPr>
    </w:p>
    <w:p>
      <w:pPr>
        <w:spacing w:before="240" w:after="80"/>
      </w:pPr>
      <w:r>
        <w:rPr>
          <w:rFonts w:ascii="Arial" w:hAnsi="Arial"/>
          <w:b/>
          <w:i w:val="0"/>
          <w:color w:val="00467F"/>
          <w:sz w:val="30"/>
        </w:rPr>
        <w:t>SECCIÓN 1 — APERTURA, MODELO CANVAS Y KPIs</w:t>
      </w:r>
    </w:p>
    <w:p>
      <w:pPr>
        <w:spacing w:before="40" w:after="80"/>
      </w:pPr>
      <w:r>
        <w:rPr>
          <w:rFonts w:ascii="Arial" w:hAnsi="Arial"/>
          <w:b w:val="0"/>
          <w:i w:val="0"/>
          <w:sz w:val="22"/>
        </w:rPr>
        <w:t>Speaker: Ximena  |  Slides 1–6  |  ~4:00 min</w:t>
      </w:r>
    </w:p>
    <w:p>
      <w:pPr>
        <w:spacing w:before="160" w:after="40"/>
      </w:pPr>
      <w:r>
        <w:rPr>
          <w:rFonts w:ascii="Arial" w:hAnsi="Arial"/>
          <w:b/>
          <w:i w:val="0"/>
          <w:color w:val="0070C0"/>
          <w:sz w:val="24"/>
        </w:rPr>
        <w:t>1A · Apertura: el problema del agua  [~1:00 min]</w:t>
      </w:r>
    </w:p>
    <w:p>
      <w:pPr>
        <w:spacing w:before="40" w:after="80"/>
      </w:pPr>
      <w:r>
        <w:rPr>
          <w:rFonts w:ascii="Arial" w:hAnsi="Arial"/>
          <w:b w:val="0"/>
          <w:i w:val="0"/>
          <w:sz w:val="22"/>
        </w:rPr>
        <w:t>SLIDE 1–2: Portada + SONORA CAJEME 'VALLE DEL YAQUI'</w:t>
      </w:r>
    </w:p>
    <w:p>
      <w:pPr>
        <w:spacing w:before="40" w:after="40"/>
        <w:ind w:left="680"/>
      </w:pPr>
      <w:r>
        <w:rPr>
          <w:rFonts w:ascii="Arial" w:hAnsi="Arial"/>
          <w:b w:val="0"/>
          <w:i w:val="0"/>
          <w:color w:val="964B00"/>
          <w:sz w:val="19"/>
        </w:rPr>
        <w:t>[Inicio sin introducción. La primera oración impacta.]</w:t>
      </w:r>
    </w:p>
    <w:p>
      <w:pPr>
        <w:spacing w:before="60" w:after="60"/>
        <w:ind w:left="680" w:right="283"/>
      </w:pPr>
      <w:r>
        <w:rPr>
          <w:rFonts w:ascii="Arial" w:hAnsi="Arial"/>
          <w:b w:val="0"/>
          <w:i/>
          <w:color w:val="323232"/>
          <w:sz w:val="21"/>
        </w:rPr>
        <w:t>"La agricultura consume entre el 70 y el 80 por ciento del agua dulce disponible a nivel mundial. En México, esa cifra no baja del 76 por ciento. Y en el Valle del Yaqui — uno de los distritos de riego más productivos del país — el consumo promedio ronda los 8,000 metros cúbicos por hectárea por ciclo de cultivo."</w:t>
      </w:r>
    </w:p>
    <w:p>
      <w:pPr>
        <w:spacing w:before="60" w:after="60"/>
        <w:ind w:left="680" w:right="283"/>
      </w:pPr>
      <w:r>
        <w:rPr>
          <w:rFonts w:ascii="Arial" w:hAnsi="Arial"/>
          <w:b w:val="0"/>
          <w:i/>
          <w:color w:val="323232"/>
          <w:sz w:val="21"/>
        </w:rPr>
        <w:t>"Ese número no es una anomalía. Es el estándar. Y el problema es que ya no podemos darnos el lujo de que lo siga siendo."</w:t>
      </w:r>
    </w:p>
    <w:p>
      <w:pPr>
        <w:spacing w:before="60" w:after="60"/>
        <w:ind w:left="680" w:right="283"/>
      </w:pPr>
      <w:r>
        <w:rPr>
          <w:rFonts w:ascii="Arial" w:hAnsi="Arial"/>
          <w:b w:val="0"/>
          <w:i/>
          <w:color w:val="323232"/>
          <w:sz w:val="21"/>
        </w:rPr>
        <w:t>"Trabajamos con el Distrito de Riego 041, foco en el Módulo 3. Este distrito opera con bombeo a 80 metros de profundidad, tarifa eléctrica de 1.68 pesos por metro cúbico, CFE 9-CU. Cada metro cúbico desperdiciado tiene un costo real, medible y evitable."</w:t>
      </w:r>
    </w:p>
    <w:p>
      <w:pPr>
        <w:spacing w:before="160" w:after="40"/>
      </w:pPr>
      <w:r>
        <w:rPr>
          <w:rFonts w:ascii="Arial" w:hAnsi="Arial"/>
          <w:b/>
          <w:i w:val="0"/>
          <w:color w:val="0070C0"/>
          <w:sz w:val="24"/>
        </w:rPr>
        <w:t>1B · Modelo Canvas  [~1:00 min]</w:t>
      </w:r>
    </w:p>
    <w:p>
      <w:pPr>
        <w:spacing w:before="40" w:after="80"/>
      </w:pPr>
      <w:r>
        <w:rPr>
          <w:rFonts w:ascii="Arial" w:hAnsi="Arial"/>
          <w:b w:val="0"/>
          <w:i w:val="0"/>
          <w:sz w:val="22"/>
        </w:rPr>
        <w:t>SLIDE 3: MODELO CANVAS</w:t>
      </w:r>
    </w:p>
    <w:p>
      <w:pPr>
        <w:spacing w:before="40" w:after="40"/>
        <w:ind w:left="680"/>
      </w:pPr>
      <w:r>
        <w:rPr>
          <w:rFonts w:ascii="Arial" w:hAnsi="Arial"/>
          <w:b w:val="0"/>
          <w:i w:val="0"/>
          <w:color w:val="964B00"/>
          <w:sz w:val="19"/>
        </w:rPr>
        <w:t>[Slide nueva en este avance. Presenta la propuesta de valor, clientes y estructura del negocio.]</w:t>
      </w:r>
    </w:p>
    <w:p>
      <w:pPr>
        <w:spacing w:before="60" w:after="60"/>
        <w:ind w:left="680" w:right="283"/>
      </w:pPr>
      <w:r>
        <w:rPr>
          <w:rFonts w:ascii="Arial" w:hAnsi="Arial"/>
          <w:b w:val="0"/>
          <w:i/>
          <w:color w:val="323232"/>
          <w:sz w:val="21"/>
        </w:rPr>
        <w:t>"Antes de entrar a los datos, quiero que quede claro qué es MILPÍN como sistema y para quién existe. El modelo Canvas resume nuestra propuesta: un DSS agrícola que traduce datos climáticos, agronómicos y de parcela en recomendaciones concretas de riego para el productor."</w:t>
      </w:r>
    </w:p>
    <w:p>
      <w:pPr>
        <w:spacing w:before="60" w:after="60"/>
        <w:ind w:left="680" w:right="283"/>
      </w:pPr>
      <w:r>
        <w:rPr>
          <w:rFonts w:ascii="Arial" w:hAnsi="Arial"/>
          <w:b w:val="0"/>
          <w:i/>
          <w:color w:val="323232"/>
          <w:sz w:val="21"/>
        </w:rPr>
        <w:t>"El segmento de clientes son los agricultores del Módulo 3. La propuesta de valor es simple: regar menos, sin comprometer la producción. El canal es la interfaz web con voz integrada. Y la estructura de costos está dominada por el cómputo climático y el mantenimiento del modelo."</w:t>
      </w:r>
    </w:p>
    <w:p>
      <w:pPr>
        <w:spacing w:before="60" w:after="60"/>
        <w:ind w:left="680" w:right="283"/>
      </w:pPr>
      <w:r>
        <w:rPr>
          <w:rFonts w:ascii="Arial" w:hAnsi="Arial"/>
          <w:b w:val="0"/>
          <w:i/>
          <w:color w:val="323232"/>
          <w:sz w:val="21"/>
        </w:rPr>
        <w:t>"El Canvas no es solo un requisito del curso. Es la prueba de que pensamos en el sistema como un producto, no solo como un modelo de machine learning."</w:t>
      </w:r>
    </w:p>
    <w:p>
      <w:pPr>
        <w:spacing w:before="160" w:after="40"/>
      </w:pPr>
      <w:r>
        <w:rPr>
          <w:rFonts w:ascii="Arial" w:hAnsi="Arial"/>
          <w:b/>
          <w:i w:val="0"/>
          <w:color w:val="0070C0"/>
          <w:sz w:val="24"/>
        </w:rPr>
        <w:t>1C · Justificación de KPIs  [~1:00 min]</w:t>
      </w:r>
    </w:p>
    <w:p>
      <w:pPr>
        <w:spacing w:before="40" w:after="80"/>
      </w:pPr>
      <w:r>
        <w:rPr>
          <w:rFonts w:ascii="Arial" w:hAnsi="Arial"/>
          <w:b w:val="0"/>
          <w:i w:val="0"/>
          <w:sz w:val="22"/>
        </w:rPr>
        <w:t>SLIDE 4: KPIS CENTRALES DEL PROYECTO</w:t>
      </w:r>
    </w:p>
    <w:p>
      <w:pPr>
        <w:spacing w:before="40" w:after="40"/>
        <w:ind w:left="680"/>
      </w:pPr>
      <w:r>
        <w:rPr>
          <w:rFonts w:ascii="Arial" w:hAnsi="Arial"/>
          <w:b w:val="0"/>
          <w:i w:val="0"/>
          <w:color w:val="964B00"/>
          <w:sz w:val="19"/>
        </w:rPr>
        <w:t>[Tres KPIs: hídrico, económico, energético. El energético es nuevo respecto al avance anterior.]</w:t>
      </w:r>
    </w:p>
    <w:p>
      <w:pPr>
        <w:spacing w:before="60" w:after="60"/>
        <w:ind w:left="680" w:right="283"/>
      </w:pPr>
      <w:r>
        <w:rPr>
          <w:rFonts w:ascii="Arial" w:hAnsi="Arial"/>
          <w:b w:val="0"/>
          <w:i/>
          <w:color w:val="323232"/>
          <w:sz w:val="21"/>
        </w:rPr>
        <w:t>"El KPI principal es reducir el consumo de 8,000 a 6,000 metros cúbicos por hectárea por ciclo. Un 25 por ciento de reducción. No lo elegimos por conveniencia — lo elegimos porque es el rango que FAO-56 identifica como alcanzable con riego de precisión sin comprometer el rendimiento."</w:t>
      </w:r>
    </w:p>
    <w:p>
      <w:pPr>
        <w:spacing w:before="60" w:after="60"/>
        <w:ind w:left="680" w:right="283"/>
      </w:pPr>
      <w:r>
        <w:rPr>
          <w:rFonts w:ascii="Arial" w:hAnsi="Arial"/>
          <w:b w:val="0"/>
          <w:i/>
          <w:color w:val="323232"/>
          <w:sz w:val="21"/>
        </w:rPr>
        <w:t>"El impacto económico: 2,000 m³ por hectárea a 1.68 pesos por metro cúbico son 3,360 pesos de ahorro por hectárea por ciclo. Para un productor con 50 hectáreas, hablamos de más de 168,000 pesos por ciclo. Eso no es marginal. Eso cambia la operación."</w:t>
      </w:r>
    </w:p>
    <w:p>
      <w:pPr>
        <w:spacing w:before="60" w:after="60"/>
        <w:ind w:left="680" w:right="283"/>
      </w:pPr>
      <w:r>
        <w:rPr>
          <w:rFonts w:ascii="Arial" w:hAnsi="Arial"/>
          <w:b w:val="0"/>
          <w:i/>
          <w:color w:val="323232"/>
          <w:sz w:val="21"/>
        </w:rPr>
        <w:t>"Y un tercer impacto que no habíamos cuantificado antes: el energético. A 80 metros de profundidad de bombeo, ahorrar 2,000 metros cúbicos por hectárea representa aproximadamente 700 kilowatts-hora menos por ciclo agrícola. Menos agua, menos energía, menos emisiones."</w:t>
      </w:r>
    </w:p>
    <w:p>
      <w:pPr>
        <w:spacing w:before="160" w:after="40"/>
      </w:pPr>
      <w:r>
        <w:rPr>
          <w:rFonts w:ascii="Arial" w:hAnsi="Arial"/>
          <w:b/>
          <w:i w:val="0"/>
          <w:color w:val="0070C0"/>
          <w:sz w:val="24"/>
        </w:rPr>
        <w:t>1D · Hallazgos clave del EDA  [~1:00 min]</w:t>
      </w:r>
    </w:p>
    <w:p>
      <w:pPr>
        <w:spacing w:before="40" w:after="80"/>
      </w:pPr>
      <w:r>
        <w:rPr>
          <w:rFonts w:ascii="Arial" w:hAnsi="Arial"/>
          <w:b w:val="0"/>
          <w:i w:val="0"/>
          <w:sz w:val="22"/>
        </w:rPr>
        <w:t>SLIDE 5: HALLAZGOS CLAVE DEL EDA</w:t>
      </w:r>
    </w:p>
    <w:p>
      <w:pPr>
        <w:spacing w:before="40" w:after="40"/>
        <w:ind w:left="680"/>
      </w:pPr>
      <w:r>
        <w:rPr>
          <w:rFonts w:ascii="Arial" w:hAnsi="Arial"/>
          <w:b w:val="0"/>
          <w:i w:val="0"/>
          <w:color w:val="964B00"/>
          <w:sz w:val="19"/>
        </w:rPr>
        <w:t>[Referir la gráfica de distribución log-normal. Dato central: la varianza NO es aleatoria.]</w:t>
      </w:r>
    </w:p>
    <w:p>
      <w:pPr>
        <w:spacing w:before="60" w:after="60"/>
        <w:ind w:left="680" w:right="283"/>
      </w:pPr>
      <w:r>
        <w:rPr>
          <w:rFonts w:ascii="Arial" w:hAnsi="Arial"/>
          <w:b w:val="0"/>
          <w:i/>
          <w:color w:val="323232"/>
          <w:sz w:val="21"/>
        </w:rPr>
        <w:t>"Cuando abrimos los datos del distrito, lo primero que encontramos fue esto. [REFERIR GRÁFICA] El consumo de agua no es homogéneo entre parcelas. La distribución es log-normal — lo que significa que hay una cola larga hacia arriba: productores que riegan mucho más que el óptimo, arrastrando el promedio hacia los 8,000."</w:t>
      </w:r>
    </w:p>
    <w:p>
      <w:pPr>
        <w:spacing w:before="60" w:after="60"/>
        <w:ind w:left="680" w:right="283"/>
      </w:pPr>
      <w:r>
        <w:rPr>
          <w:rFonts w:ascii="Arial" w:hAnsi="Arial"/>
          <w:b w:val="0"/>
          <w:i/>
          <w:color w:val="323232"/>
          <w:sz w:val="21"/>
        </w:rPr>
        <w:t>"Esa varianza no es aleatoria. Está explicada por variables que podemos medir: tipo de cultivo, etapa fenológica, temperatura acumulada, evapotranspiración del período."</w:t>
      </w:r>
    </w:p>
    <w:p>
      <w:pPr>
        <w:spacing w:before="60" w:after="60"/>
        <w:ind w:left="680" w:right="283"/>
      </w:pPr>
      <w:r>
        <w:rPr>
          <w:rFonts w:ascii="Arial" w:hAnsi="Arial"/>
          <w:b w:val="0"/>
          <w:i/>
          <w:color w:val="323232"/>
          <w:sz w:val="21"/>
        </w:rPr>
        <w:t>"La correlación confirmó que la evapotranspiración tiene relación directa con el consumo óptimo. Cuando el riego se desconecta de esa demanda real, el agua se desperdicia o el cultivo sufre estrés hídrico. Eso es exactamente el problema que resuelve MILPÍN."</w:t>
      </w:r>
    </w:p>
    <w:p>
      <w:r>
        <w:br w:type="page"/>
      </w:r>
    </w:p>
    <w:p>
      <w:pPr>
        <w:spacing w:before="80" w:after="80"/>
        <w:pBdr>
          <w:bottom w:val="single" w:sz="6" w:space="1" w:color="00466F"/>
        </w:pBdr>
      </w:pPr>
    </w:p>
    <w:p>
      <w:pPr>
        <w:spacing w:before="240" w:after="80"/>
      </w:pPr>
      <w:r>
        <w:rPr>
          <w:rFonts w:ascii="Arial" w:hAnsi="Arial"/>
          <w:b/>
          <w:i w:val="0"/>
          <w:color w:val="00467F"/>
          <w:sz w:val="30"/>
        </w:rPr>
        <w:t>SECCIÓN 2 — VALIDACIÓN FAO-56 Y PIPELINE ML</w:t>
      </w:r>
    </w:p>
    <w:p>
      <w:pPr>
        <w:spacing w:before="40" w:after="80"/>
      </w:pPr>
      <w:r>
        <w:rPr>
          <w:rFonts w:ascii="Arial" w:hAnsi="Arial"/>
          <w:b w:val="0"/>
          <w:i w:val="0"/>
          <w:sz w:val="22"/>
        </w:rPr>
        <w:t>Speaker: Erika  |  Slides 6–12  |  ~5:30 min</w:t>
      </w:r>
    </w:p>
    <w:p>
      <w:pPr>
        <w:spacing w:before="160" w:after="40"/>
      </w:pPr>
      <w:r>
        <w:rPr>
          <w:rFonts w:ascii="Arial" w:hAnsi="Arial"/>
          <w:b/>
          <w:i w:val="0"/>
          <w:color w:val="0070C0"/>
          <w:sz w:val="24"/>
        </w:rPr>
        <w:t>2A · Periodo agrícola y sobre-riego  [~1:30 min]</w:t>
      </w:r>
    </w:p>
    <w:p>
      <w:pPr>
        <w:spacing w:before="40" w:after="80"/>
      </w:pPr>
      <w:r>
        <w:rPr>
          <w:rFonts w:ascii="Arial" w:hAnsi="Arial"/>
          <w:b w:val="0"/>
          <w:i w:val="0"/>
          <w:sz w:val="22"/>
        </w:rPr>
        <w:t>SLIDE 6: PERIODO AGRÍCOLA / SLIDE 7: DESVIACIÓN RESPECTO FAO-56</w:t>
      </w:r>
    </w:p>
    <w:p>
      <w:pPr>
        <w:spacing w:before="40" w:after="40"/>
        <w:ind w:left="680"/>
      </w:pPr>
      <w:r>
        <w:rPr>
          <w:rFonts w:ascii="Arial" w:hAnsi="Arial"/>
          <w:b w:val="0"/>
          <w:i w:val="0"/>
          <w:color w:val="964B00"/>
          <w:sz w:val="19"/>
        </w:rPr>
        <w:t>[Datos duros: 86.5% y 2,275 m³/ha. Son los hallazgos más impactantes del análisis.]</w:t>
      </w:r>
    </w:p>
    <w:p>
      <w:pPr>
        <w:spacing w:before="60" w:after="60"/>
        <w:ind w:left="680" w:right="283"/>
      </w:pPr>
      <w:r>
        <w:rPr>
          <w:rFonts w:ascii="Arial" w:hAnsi="Arial"/>
          <w:b w:val="0"/>
          <w:i/>
          <w:color w:val="323232"/>
          <w:sz w:val="21"/>
        </w:rPr>
        <w:t>"Como mostró Ximena, la varianza no es aleatoria. Ahora veamos qué tan grave es la desviación respecto al óptimo agronómico. [REFERIR GRÁFICA DE PERIODO AGRÍCOLA]"</w:t>
      </w:r>
    </w:p>
    <w:p>
      <w:pPr>
        <w:spacing w:before="60" w:after="60"/>
        <w:ind w:left="680" w:right="283"/>
      </w:pPr>
      <w:r>
        <w:rPr>
          <w:rFonts w:ascii="Arial" w:hAnsi="Arial"/>
          <w:b w:val="0"/>
          <w:i/>
          <w:color w:val="323232"/>
          <w:sz w:val="21"/>
        </w:rPr>
        <w:t>"El hallazgo central: el 86.5 por ciento de los ciclos agrícolas presentan sobre-riego. No es una minoría. Es la norma. En promedio, los productores aplican 2,275 metros cúbicos por hectárea adicionales respecto al óptimo que FAO-56 calcula para ese cultivo en esa etapa."</w:t>
      </w:r>
    </w:p>
    <w:p>
      <w:pPr>
        <w:spacing w:before="60" w:after="60"/>
        <w:ind w:left="680" w:right="283"/>
      </w:pPr>
      <w:r>
        <w:rPr>
          <w:rFonts w:ascii="Arial" w:hAnsi="Arial"/>
          <w:b w:val="0"/>
          <w:i/>
          <w:color w:val="323232"/>
          <w:sz w:val="21"/>
        </w:rPr>
        <w:t>"¿Por qué ocurre esto? No es negligencia. Es falta de información en el momento correcto. El riego se aplica de manera rutinaria — mismos días, mismas dosis — sin considerar las condiciones climáticas de esa semana. Eso es ineficiencia estructural. Y eso es exactamente lo que MILPÍN está diseñado para eliminar."</w:t>
      </w:r>
    </w:p>
    <w:p>
      <w:pPr>
        <w:spacing w:before="160" w:after="40"/>
      </w:pPr>
      <w:r>
        <w:rPr>
          <w:rFonts w:ascii="Arial" w:hAnsi="Arial"/>
          <w:b/>
          <w:i w:val="0"/>
          <w:color w:val="0070C0"/>
          <w:sz w:val="24"/>
        </w:rPr>
        <w:t>2B · Validación del motor FAO-56  [~2:00 min]</w:t>
      </w:r>
    </w:p>
    <w:p>
      <w:pPr>
        <w:spacing w:before="40" w:after="80"/>
      </w:pPr>
      <w:r>
        <w:rPr>
          <w:rFonts w:ascii="Arial" w:hAnsi="Arial"/>
          <w:b w:val="0"/>
          <w:i w:val="0"/>
          <w:sz w:val="22"/>
        </w:rPr>
        <w:t>SLIDE 8: VALIDACIÓN FAO-56 / SLIDE 9: MÉTRICAS ETo</w:t>
      </w:r>
    </w:p>
    <w:p>
      <w:pPr>
        <w:spacing w:before="40" w:after="40"/>
        <w:ind w:left="680"/>
      </w:pPr>
      <w:r>
        <w:rPr>
          <w:rFonts w:ascii="Arial" w:hAnsi="Arial"/>
          <w:b w:val="0"/>
          <w:i w:val="0"/>
          <w:color w:val="964B00"/>
          <w:sz w:val="19"/>
        </w:rPr>
        <w:t>[Explicar por qué Penman-Monteith es el método estándar y qué rol cumple Hargreaves como fallback.]</w:t>
      </w:r>
    </w:p>
    <w:p>
      <w:pPr>
        <w:spacing w:before="60" w:after="60"/>
        <w:ind w:left="680" w:right="283"/>
      </w:pPr>
      <w:r>
        <w:rPr>
          <w:rFonts w:ascii="Arial" w:hAnsi="Arial"/>
          <w:b w:val="0"/>
          <w:i/>
          <w:color w:val="323232"/>
          <w:sz w:val="21"/>
        </w:rPr>
        <w:t>"Para que MILPÍN pueda recomendar cuándo y cuánto regar, necesita calcular la evapotranspiración de referencia — la demanda hídrica potencial del entorno. Para eso usamos Penman-Monteith, el método estándar de FAO-56 y el más preciso cuando tenemos los datos climáticos completos."</w:t>
      </w:r>
    </w:p>
    <w:p>
      <w:pPr>
        <w:spacing w:before="60" w:after="60"/>
        <w:ind w:left="680" w:right="283"/>
      </w:pPr>
      <w:r>
        <w:rPr>
          <w:rFonts w:ascii="Arial" w:hAnsi="Arial"/>
          <w:b w:val="0"/>
          <w:i/>
          <w:color w:val="323232"/>
          <w:sz w:val="21"/>
        </w:rPr>
        <w:t>"Cuando faltan variables — humedad relativa, radiación solar, viento — el sistema cambia automáticamente a Hargreaves-Samani, un método simplificado que solo necesita temperatura máxima y mínima. Es el plan B que garantiza que el sistema no se caiga cuando los datos son incompletos."</w:t>
      </w:r>
    </w:p>
    <w:p>
      <w:pPr>
        <w:spacing w:before="60" w:after="60"/>
        <w:ind w:left="680" w:right="283"/>
      </w:pPr>
      <w:r>
        <w:rPr>
          <w:rFonts w:ascii="Arial" w:hAnsi="Arial"/>
          <w:b w:val="0"/>
          <w:i/>
          <w:color w:val="323232"/>
          <w:sz w:val="21"/>
        </w:rPr>
        <w:t>"¿Qué tan bien funciona el motor? Los números hablan: la ETo promedio calculada es de 1,767 mm por día, con un error de apenas 0.29 por ciento respecto a los valores de referencia. El consumo de agua promedio en el dataset es de 5,296 metros cúbicos por hectárea, con una desviación del 0.88 por ciento. Y en la ETo máxima — cerca de 15 mm por día en los meses más cálidos — el error es prácticamente cero: 0.00 por ciento."</w:t>
      </w:r>
    </w:p>
    <w:p>
      <w:pPr>
        <w:spacing w:before="60" w:after="60"/>
        <w:ind w:left="680" w:right="283"/>
      </w:pPr>
      <w:r>
        <w:rPr>
          <w:rFonts w:ascii="Arial" w:hAnsi="Arial"/>
          <w:b w:val="0"/>
          <w:i/>
          <w:color w:val="323232"/>
          <w:sz w:val="21"/>
        </w:rPr>
        <w:t>"Esos números no son casualidad. El motor FAO-56 está calibrado con los datos climáticos reales del Valle del Yaqui, no con parámetros genéricos. Y eso importa: un motor mal calibrado produce recomendaciones incorrectas aunque el modelo de ML sea perfecto."</w:t>
      </w:r>
    </w:p>
    <w:p>
      <w:pPr>
        <w:spacing w:before="160" w:after="40"/>
      </w:pPr>
      <w:r>
        <w:rPr>
          <w:rFonts w:ascii="Arial" w:hAnsi="Arial"/>
          <w:b/>
          <w:i w:val="0"/>
          <w:color w:val="0070C0"/>
          <w:sz w:val="24"/>
        </w:rPr>
        <w:t>2C · Pipeline ML y Feature Engineering  [~2:00 min]</w:t>
      </w:r>
    </w:p>
    <w:p>
      <w:pPr>
        <w:spacing w:before="40" w:after="80"/>
      </w:pPr>
      <w:r>
        <w:rPr>
          <w:rFonts w:ascii="Arial" w:hAnsi="Arial"/>
          <w:b w:val="0"/>
          <w:i w:val="0"/>
          <w:sz w:val="22"/>
        </w:rPr>
        <w:t>SLIDE 10–11: PIPELINE ML</w:t>
      </w:r>
    </w:p>
    <w:p>
      <w:pPr>
        <w:spacing w:before="40" w:after="40"/>
        <w:ind w:left="680"/>
      </w:pPr>
      <w:r>
        <w:rPr>
          <w:rFonts w:ascii="Arial" w:hAnsi="Arial"/>
          <w:b w:val="0"/>
          <w:i w:val="0"/>
          <w:color w:val="964B00"/>
          <w:sz w:val="19"/>
        </w:rPr>
        <w:t>[Explicar la receta del pipeline. Conectar con la auditoría de datos.]</w:t>
      </w:r>
    </w:p>
    <w:p>
      <w:pPr>
        <w:spacing w:before="60" w:after="60"/>
        <w:ind w:left="680" w:right="283"/>
      </w:pPr>
      <w:r>
        <w:rPr>
          <w:rFonts w:ascii="Arial" w:hAnsi="Arial"/>
          <w:b w:val="0"/>
          <w:i/>
          <w:color w:val="323232"/>
          <w:sz w:val="21"/>
        </w:rPr>
        <w:t>"Una vez que el motor agronómico está validado, construimos el pipeline de machine learning. La lógica es simple: es la receta que convierte datos crudos en predicciones confiables, paso a paso, sin atajos."</w:t>
      </w:r>
    </w:p>
    <w:p>
      <w:pPr>
        <w:spacing w:before="60" w:after="60"/>
        <w:ind w:left="680" w:right="283"/>
      </w:pPr>
      <w:r>
        <w:rPr>
          <w:rFonts w:ascii="Arial" w:hAnsi="Arial"/>
          <w:b w:val="0"/>
          <w:i/>
          <w:color w:val="323232"/>
          <w:sz w:val="21"/>
        </w:rPr>
        <w:t>"El pipeline empieza con la calidad de datos. Antes de modelar, auditamos: nulos, rangos imposibles, inconsistencias entre variables relacionadas. Un modelo entrenado sobre datos con problemas no es machine learning — es una máquina de amplificar errores."</w:t>
      </w:r>
    </w:p>
    <w:p>
      <w:pPr>
        <w:spacing w:before="60" w:after="60"/>
        <w:ind w:left="680" w:right="283"/>
      </w:pPr>
      <w:r>
        <w:rPr>
          <w:rFonts w:ascii="Arial" w:hAnsi="Arial"/>
          <w:b w:val="0"/>
          <w:i/>
          <w:color w:val="323232"/>
          <w:sz w:val="21"/>
        </w:rPr>
        <w:t>"El segundo riesgo que auditamos fue el data leakage: cuando el modelo tiene acceso en entrenamiento a información que en producción no va a tener. Por ejemplo, si incluimos el consumo total al final del ciclo para predecir el consumo óptimo — el modelo aprende a hacer trampa, no a generalizar. Identificamos y reformulamos las variables con leakage potencial como lags y promedios históricos."</w:t>
      </w:r>
    </w:p>
    <w:p>
      <w:pPr>
        <w:spacing w:before="60" w:after="60"/>
        <w:ind w:left="680" w:right="283"/>
      </w:pPr>
      <w:r>
        <w:rPr>
          <w:rFonts w:ascii="Arial" w:hAnsi="Arial"/>
          <w:b w:val="0"/>
          <w:i/>
          <w:color w:val="323232"/>
          <w:sz w:val="21"/>
        </w:rPr>
        <w:t>"El feature engineering traduce el conocimiento agronómico al lenguaje del modelo. El coeficiente de cultivo — Kc — multiplica la ETo de referencia para darnos la demanda real del cultivo en esa etapa específica. Las variables de lag capturan el historial hídrico reciente. El suelo no reacciona solo a lo que pasó hoy; el modelo tampoco debería."</w:t>
      </w:r>
    </w:p>
    <w:p>
      <w:pPr>
        <w:spacing w:before="60" w:after="60"/>
        <w:ind w:left="680" w:right="283"/>
      </w:pPr>
      <w:r>
        <w:rPr>
          <w:rFonts w:ascii="Arial" w:hAnsi="Arial"/>
          <w:b w:val="0"/>
          <w:i/>
          <w:color w:val="323232"/>
          <w:sz w:val="21"/>
        </w:rPr>
        <w:t>"Y la división de datos fue temporal, no aleatoria. Dividir aleatoriamente en series de tiempo agrícolas produce leakage temporal: el modelo entrena con datos del futuro para predecir el pasado. El set de test corresponde a ciclos que el modelo nunca vio. Esa es la única forma honesta de medir si el modelo generaliza."</w:t>
      </w:r>
    </w:p>
    <w:p>
      <w:pPr>
        <w:spacing w:before="160" w:after="40"/>
      </w:pPr>
      <w:r>
        <w:rPr>
          <w:rFonts w:ascii="Arial" w:hAnsi="Arial"/>
          <w:b/>
          <w:i w:val="0"/>
          <w:color w:val="0070C0"/>
          <w:sz w:val="24"/>
        </w:rPr>
        <w:t>2D · Comparación de modelos: XGBoost vs. Redes Neuronales  [~1:30 min — NUEVA SECCIÓN]</w:t>
      </w:r>
    </w:p>
    <w:p>
      <w:pPr>
        <w:spacing w:before="40" w:after="80"/>
      </w:pPr>
      <w:r>
        <w:rPr>
          <w:rFonts w:ascii="Arial" w:hAnsi="Arial"/>
          <w:b w:val="0"/>
          <w:i w:val="0"/>
          <w:sz w:val="22"/>
        </w:rPr>
        <w:t>SLIDE 12: COMPARACIÓN DE MODELOS / REDES NEURONALES</w:t>
      </w:r>
    </w:p>
    <w:p>
      <w:pPr>
        <w:spacing w:before="40" w:after="40"/>
        <w:ind w:left="680"/>
      </w:pPr>
      <w:r>
        <w:rPr>
          <w:rFonts w:ascii="Arial" w:hAnsi="Arial"/>
          <w:b w:val="0"/>
          <w:i w:val="0"/>
          <w:color w:val="964B00"/>
          <w:sz w:val="19"/>
        </w:rPr>
        <w:t>[SECCIÓN NUEVA en este avance. Justificar por qué no quedamos con la red neuronal.]</w:t>
      </w:r>
    </w:p>
    <w:p>
      <w:pPr>
        <w:spacing w:before="60" w:after="60"/>
        <w:ind w:left="680" w:right="283"/>
      </w:pPr>
      <w:r>
        <w:rPr>
          <w:rFonts w:ascii="Arial" w:hAnsi="Arial"/>
          <w:b w:val="0"/>
          <w:i/>
          <w:color w:val="323232"/>
          <w:sz w:val="21"/>
        </w:rPr>
        <w:t>"Para este avance comparamos formalmente múltiples algoritmos. No solo elegimos XGBoost porque es popular — lo evaluamos contra redes neuronales y otros modelos bajo las mismas condiciones de validación. [REFERIR TABLA DE COMPARACIÓN]"</w:t>
      </w:r>
    </w:p>
    <w:p>
      <w:pPr>
        <w:spacing w:before="60" w:after="60"/>
        <w:ind w:left="680" w:right="283"/>
      </w:pPr>
      <w:r>
        <w:rPr>
          <w:rFonts w:ascii="Arial" w:hAnsi="Arial"/>
          <w:b w:val="0"/>
          <w:i/>
          <w:color w:val="323232"/>
          <w:sz w:val="21"/>
        </w:rPr>
        <w:t>"Las redes neuronales tienen mayor capacidad de representación. En teoría, podrían capturar relaciones más complejas en los datos. Pero en nuestro contexto tienen tres problemas concretos: requieren muchos más datos para generalizar bien; son sensibles a la escala y requieren normalización cuidadosa; y — el problema más crítico — no son interpretables."</w:t>
      </w:r>
    </w:p>
    <w:p>
      <w:pPr>
        <w:spacing w:before="60" w:after="60"/>
        <w:ind w:left="680" w:right="283"/>
      </w:pPr>
      <w:r>
        <w:rPr>
          <w:rFonts w:ascii="Arial" w:hAnsi="Arial"/>
          <w:b w:val="0"/>
          <w:i/>
          <w:color w:val="323232"/>
          <w:sz w:val="21"/>
        </w:rPr>
        <w:t>"Ese último punto no es menor. El agricultor necesita entender por qué el sistema le dice "riegue en tres días". Si la respuesta es una caja negra con millones de parámetros, la confianza en el sistema se rompe. MILPÍN no es un sistema que el técnico usa para imponer decisiones — es una herramienta que el productor adopta porque entiende la lógica."</w:t>
      </w:r>
    </w:p>
    <w:p>
      <w:pPr>
        <w:spacing w:before="60" w:after="60"/>
        <w:ind w:left="680" w:right="283"/>
      </w:pPr>
      <w:r>
        <w:rPr>
          <w:rFonts w:ascii="Arial" w:hAnsi="Arial"/>
          <w:b w:val="0"/>
          <w:i/>
          <w:color w:val="323232"/>
          <w:sz w:val="21"/>
        </w:rPr>
        <w:t>"XGBoost cumple los tres criterios de selección: maneja datos mixtos sin preprocessing excesivo, captura interacciones no lineales, y es compatible con SHAP para explicabilidad. No llegamos a la versión actual de golpe — cada versión resolvió un problema detectado en la validación anterior: baseline, lags, corrección de leakage, split temporal, tuning, refinamiento final."</w:t>
      </w:r>
    </w:p>
    <w:p>
      <w:r>
        <w:br w:type="page"/>
      </w:r>
    </w:p>
    <w:p>
      <w:pPr>
        <w:spacing w:before="80" w:after="80"/>
        <w:pBdr>
          <w:bottom w:val="single" w:sz="6" w:space="1" w:color="00466F"/>
        </w:pBdr>
      </w:pPr>
    </w:p>
    <w:p>
      <w:pPr>
        <w:spacing w:before="240" w:after="80"/>
      </w:pPr>
      <w:r>
        <w:rPr>
          <w:rFonts w:ascii="Arial" w:hAnsi="Arial"/>
          <w:b/>
          <w:i w:val="0"/>
          <w:color w:val="00467F"/>
          <w:sz w:val="30"/>
        </w:rPr>
        <w:t>SECCIÓN 3 — RESULTADOS, ASISTENTE DE VOZ Y CIERRE</w:t>
      </w:r>
    </w:p>
    <w:p>
      <w:pPr>
        <w:spacing w:before="40" w:after="80"/>
      </w:pPr>
      <w:r>
        <w:rPr>
          <w:rFonts w:ascii="Arial" w:hAnsi="Arial"/>
          <w:b w:val="0"/>
          <w:i w:val="0"/>
          <w:sz w:val="22"/>
        </w:rPr>
        <w:t>Speaker: Omar  |  Slides 13–15  |  ~3:30 min</w:t>
      </w:r>
    </w:p>
    <w:p>
      <w:pPr>
        <w:spacing w:before="160" w:after="40"/>
      </w:pPr>
      <w:r>
        <w:rPr>
          <w:rFonts w:ascii="Arial" w:hAnsi="Arial"/>
          <w:b/>
          <w:i w:val="0"/>
          <w:color w:val="0070C0"/>
          <w:sz w:val="24"/>
        </w:rPr>
        <w:t>3A · Resultados del modelo  [~1:30 min]</w:t>
      </w:r>
    </w:p>
    <w:p>
      <w:pPr>
        <w:spacing w:before="40" w:after="80"/>
      </w:pPr>
      <w:r>
        <w:rPr>
          <w:rFonts w:ascii="Arial" w:hAnsi="Arial"/>
          <w:b w:val="0"/>
          <w:i w:val="0"/>
          <w:sz w:val="22"/>
        </w:rPr>
        <w:t>SLIDE 13: RESULTADOS</w:t>
      </w:r>
    </w:p>
    <w:p>
      <w:pPr>
        <w:spacing w:before="40" w:after="40"/>
        <w:ind w:left="680"/>
      </w:pPr>
      <w:r>
        <w:rPr>
          <w:rFonts w:ascii="Arial" w:hAnsi="Arial"/>
          <w:b w:val="0"/>
          <w:i w:val="0"/>
          <w:color w:val="964B00"/>
          <w:sz w:val="19"/>
        </w:rPr>
        <w:t>[Presentar métricas en términos operativos. Nunca citar R² sin explicar qué significa.]</w:t>
      </w:r>
    </w:p>
    <w:p>
      <w:pPr>
        <w:spacing w:before="60" w:after="60"/>
        <w:ind w:left="680" w:right="283"/>
      </w:pPr>
      <w:r>
        <w:rPr>
          <w:rFonts w:ascii="Arial" w:hAnsi="Arial"/>
          <w:b w:val="0"/>
          <w:i/>
          <w:color w:val="323232"/>
          <w:sz w:val="21"/>
        </w:rPr>
        <w:t>"Como mostró Erika, la comparación de modelos nos llevó a XGBoost como el algoritmo final. Ahora les presento los resultados sobre el set de test — datos que el modelo nunca vio durante el entrenamiento. [REFERIR TABLA DE RESULTADOS]"</w:t>
      </w:r>
    </w:p>
    <w:p>
      <w:pPr>
        <w:spacing w:before="60" w:after="60"/>
        <w:ind w:left="680" w:right="283"/>
      </w:pPr>
      <w:r>
        <w:rPr>
          <w:rFonts w:ascii="Arial" w:hAnsi="Arial"/>
          <w:b w:val="0"/>
          <w:i/>
          <w:color w:val="323232"/>
          <w:sz w:val="21"/>
        </w:rPr>
        <w:t>"[INSERTAR MÉTRICAS: R², RMSE, MAE del modelo final] — Quiero ser claro sobre qué significa cada número en términos operativos. Un R² de [X] significa que el modelo explica [X]% de la variabilidad en el consumo óptimo de agua entre parcelas y ciclos. El RMSE de [Y] m³/ha es el error promedio de la recomendación — en el contexto de un ciclo de 6,000 m³/ha, ese margen es [aceptable/bajo] para decisiones de riego."</w:t>
      </w:r>
    </w:p>
    <w:p>
      <w:pPr>
        <w:spacing w:before="60" w:after="60"/>
        <w:ind w:left="680" w:right="283"/>
      </w:pPr>
      <w:r>
        <w:rPr>
          <w:rFonts w:ascii="Arial" w:hAnsi="Arial"/>
          <w:b w:val="0"/>
          <w:i/>
          <w:color w:val="323232"/>
          <w:sz w:val="21"/>
        </w:rPr>
        <w:t>"También tenemos que hablar de los casos donde el modelo falla. [INSERTAR: condiciones de mayor error — cultivos con pocos registros, eventos climáticos extremos, inicio de ciclo sin historial]. Esos son los límites actuales del sistema. Ser honestos sobre los límites es parte de hacer data science responsable."</w:t>
      </w:r>
    </w:p>
    <w:p>
      <w:pPr>
        <w:spacing w:before="60" w:after="60"/>
        <w:ind w:left="680" w:right="283"/>
      </w:pPr>
      <w:r>
        <w:rPr>
          <w:rFonts w:ascii="Arial" w:hAnsi="Arial"/>
          <w:b w:val="0"/>
          <w:i/>
          <w:color w:val="323232"/>
          <w:sz w:val="21"/>
        </w:rPr>
        <w:t>"La variable más influyente en las predicciones — según el análisis SHAP — es [INSERTAR: probablemente ETo o Kc por etapa fenológica]. Tiene sentido agronómico: la demanda hídrica real del cultivo en su etapa específica es el determinante principal del riego óptimo. El modelo aprendió lo mismo que el agrónomo ya sabía — pero ahora lo cuantifica, parcela por parcela, día por día."</w:t>
      </w:r>
    </w:p>
    <w:p>
      <w:pPr>
        <w:spacing w:before="160" w:after="40"/>
      </w:pPr>
      <w:r>
        <w:rPr>
          <w:rFonts w:ascii="Arial" w:hAnsi="Arial"/>
          <w:b/>
          <w:i w:val="0"/>
          <w:color w:val="0070C0"/>
          <w:sz w:val="24"/>
        </w:rPr>
        <w:t>3B · Asistente de voz  [~1:00 min — NUEVA SECCIÓN]</w:t>
      </w:r>
    </w:p>
    <w:p>
      <w:pPr>
        <w:spacing w:before="40" w:after="80"/>
      </w:pPr>
      <w:r>
        <w:rPr>
          <w:rFonts w:ascii="Arial" w:hAnsi="Arial"/>
          <w:b w:val="0"/>
          <w:i w:val="0"/>
          <w:sz w:val="22"/>
        </w:rPr>
        <w:t>SLIDE 14: ASISTENTE DE VOZ</w:t>
      </w:r>
    </w:p>
    <w:p>
      <w:pPr>
        <w:spacing w:before="40" w:after="40"/>
        <w:ind w:left="680"/>
      </w:pPr>
      <w:r>
        <w:rPr>
          <w:rFonts w:ascii="Arial" w:hAnsi="Arial"/>
          <w:b w:val="0"/>
          <w:i w:val="0"/>
          <w:color w:val="964B00"/>
          <w:sz w:val="19"/>
        </w:rPr>
        <w:t>[SECCIÓN NUEVA en este avance. El pipeline de voz es el diferenciador de usabilidad.]</w:t>
      </w:r>
    </w:p>
    <w:p>
      <w:pPr>
        <w:spacing w:before="60" w:after="60"/>
        <w:ind w:left="680" w:right="283"/>
      </w:pPr>
      <w:r>
        <w:rPr>
          <w:rFonts w:ascii="Arial" w:hAnsi="Arial"/>
          <w:b w:val="0"/>
          <w:i/>
          <w:color w:val="323232"/>
          <w:sz w:val="21"/>
        </w:rPr>
        <w:t>"Un modelo de machine learning que solo funciona si el productor sabe usar un dashboard técnico no va a ser adoptado. Por eso MILPÍN tiene un asistente de voz integrado, en español."</w:t>
      </w:r>
    </w:p>
    <w:p>
      <w:pPr>
        <w:spacing w:before="60" w:after="60"/>
        <w:ind w:left="680" w:right="283"/>
      </w:pPr>
      <w:r>
        <w:rPr>
          <w:rFonts w:ascii="Arial" w:hAnsi="Arial"/>
          <w:b w:val="0"/>
          <w:i/>
          <w:color w:val="323232"/>
          <w:sz w:val="21"/>
        </w:rPr>
        <w:t>"El pipeline de voz funciona así: el productor habla al sistema — "¿cuándo riega mi parcela norte?" — Whisper convierte el audio a texto con alta precisión incluso con ruido de campo. Un modelo de lenguaje clasifica la intención — en este caso, consulta de calendario de riego para una parcela específica. El sistema recupera el balance hídrico de esa parcela y responde en voz, en español, con la recomendación concreta."</w:t>
      </w:r>
    </w:p>
    <w:p>
      <w:pPr>
        <w:spacing w:before="60" w:after="60"/>
        <w:ind w:left="680" w:right="283"/>
      </w:pPr>
      <w:r>
        <w:rPr>
          <w:rFonts w:ascii="Arial" w:hAnsi="Arial"/>
          <w:b w:val="0"/>
          <w:i/>
          <w:color w:val="323232"/>
          <w:sz w:val="21"/>
        </w:rPr>
        <w:t>"El productor no necesita aprender a usar software. El sistema se adapta a él, no al revés. Eso no es un detalle de UX — es la diferencia entre un prototipo de laboratorio y una herramienta que realmente llega al campo."</w:t>
      </w:r>
    </w:p>
    <w:p>
      <w:pPr>
        <w:spacing w:before="160" w:after="40"/>
      </w:pPr>
      <w:r>
        <w:rPr>
          <w:rFonts w:ascii="Arial" w:hAnsi="Arial"/>
          <w:b/>
          <w:i w:val="0"/>
          <w:color w:val="0070C0"/>
          <w:sz w:val="24"/>
        </w:rPr>
        <w:t>3C · Cierre  [~1:00 min]</w:t>
      </w:r>
    </w:p>
    <w:p>
      <w:pPr>
        <w:spacing w:before="40" w:after="80"/>
      </w:pPr>
      <w:r>
        <w:rPr>
          <w:rFonts w:ascii="Arial" w:hAnsi="Arial"/>
          <w:b w:val="0"/>
          <w:i w:val="0"/>
          <w:sz w:val="22"/>
        </w:rPr>
        <w:t>SLIDE 15: CIERRE</w:t>
      </w:r>
    </w:p>
    <w:p>
      <w:pPr>
        <w:spacing w:before="40" w:after="40"/>
        <w:ind w:left="680"/>
      </w:pPr>
      <w:r>
        <w:rPr>
          <w:rFonts w:ascii="Arial" w:hAnsi="Arial"/>
          <w:b w:val="0"/>
          <w:i w:val="0"/>
          <w:color w:val="964B00"/>
          <w:sz w:val="19"/>
        </w:rPr>
        <w:t>[MEMORIZAR. No leer. Mirar al público. Última impresión.]</w:t>
      </w:r>
    </w:p>
    <w:p>
      <w:pPr>
        <w:spacing w:before="60" w:after="60"/>
        <w:ind w:left="680" w:right="283"/>
      </w:pPr>
      <w:r>
        <w:rPr>
          <w:rFonts w:ascii="Arial" w:hAnsi="Arial"/>
          <w:b w:val="0"/>
          <w:i/>
          <w:color w:val="323232"/>
          <w:sz w:val="21"/>
        </w:rPr>
        <w:t>"Lo que presentamos hoy no es solo un modelo de machine learning. Es un sistema que integra tres capas de rigor: análisis exploratorio para entender el problema, motor agronómico FAO-56 para calcular la demanda real, y machine learning para aprender los patrones que el análisis no captura solo."</w:t>
      </w:r>
    </w:p>
    <w:p>
      <w:pPr>
        <w:spacing w:before="60" w:after="60"/>
        <w:ind w:left="680" w:right="283"/>
      </w:pPr>
      <w:r>
        <w:rPr>
          <w:rFonts w:ascii="Arial" w:hAnsi="Arial"/>
          <w:b w:val="0"/>
          <w:i/>
          <w:color w:val="323232"/>
          <w:sz w:val="21"/>
        </w:rPr>
        <w:t>"El 86.5 por ciento de ciclos con sobre-riego no es una estadística. Es el problema que MILPÍN está diseñado para resolver, parcela por parcela, con datos del Valle del Yaqui, no con supuestos genéricos."</w:t>
      </w:r>
    </w:p>
    <w:p>
      <w:pPr>
        <w:spacing w:before="60" w:after="60"/>
        <w:ind w:left="680" w:right="283"/>
      </w:pPr>
      <w:r>
        <w:rPr>
          <w:rFonts w:ascii="Arial" w:hAnsi="Arial"/>
          <w:b w:val="0"/>
          <w:i/>
          <w:color w:val="323232"/>
          <w:sz w:val="21"/>
        </w:rPr>
        <w:t>"Los próximos pasos: validación con datos reales del Módulo 3, integración de datos NASA POWER en tiempo real, y un piloto con productores seleccionados para medir el impacto real en campo."</w:t>
      </w:r>
    </w:p>
    <w:p>
      <w:pPr>
        <w:spacing w:before="60" w:after="60"/>
        <w:ind w:left="680" w:right="283"/>
      </w:pPr>
      <w:r>
        <w:rPr>
          <w:rFonts w:ascii="Arial" w:hAnsi="Arial"/>
          <w:b w:val="0"/>
          <w:i/>
          <w:color w:val="323232"/>
          <w:sz w:val="21"/>
        </w:rPr>
        <w:t>"El Valle del Yaqui produce alimento para millones de personas. MILPÍN quiere asegurarse de que pueda seguir haciéndolo con el agua que tiene."</w:t>
      </w:r>
    </w:p>
    <w:p>
      <w:r>
        <w:br w:type="page"/>
      </w:r>
    </w:p>
    <w:p>
      <w:pPr>
        <w:spacing w:before="80" w:after="80"/>
        <w:pBdr>
          <w:bottom w:val="single" w:sz="6" w:space="1" w:color="00466F"/>
        </w:pBdr>
      </w:pPr>
    </w:p>
    <w:p>
      <w:pPr>
        <w:spacing w:before="240" w:after="80"/>
      </w:pPr>
      <w:r>
        <w:rPr>
          <w:rFonts w:ascii="Arial" w:hAnsi="Arial"/>
          <w:b/>
          <w:i w:val="0"/>
          <w:color w:val="00467F"/>
          <w:sz w:val="28"/>
        </w:rPr>
        <w:t>REGLAS GENERALES DE PRESENTACIÓN</w:t>
      </w:r>
    </w:p>
    <w:p>
      <w:pPr>
        <w:spacing w:before="160" w:after="40"/>
      </w:pPr>
      <w:r>
        <w:rPr>
          <w:rFonts w:ascii="Arial" w:hAnsi="Arial"/>
          <w:b/>
          <w:i w:val="0"/>
          <w:color w:val="0070C0"/>
          <w:sz w:val="24"/>
        </w:rPr>
        <w:t>Lo que SÍ hacer</w:t>
      </w:r>
    </w:p>
    <w:p>
      <w:pPr>
        <w:pStyle w:val="ListBullet"/>
        <w:spacing w:before="20" w:after="20"/>
        <w:ind w:left="567"/>
      </w:pPr>
      <w:r>
        <w:rPr>
          <w:rFonts w:ascii="Arial" w:hAnsi="Arial"/>
          <w:b w:val="0"/>
          <w:i w:val="0"/>
          <w:sz w:val="21"/>
        </w:rPr>
        <w:t>Hablar al público, no a la pantalla. Los slides son soporte, no guión.</w:t>
      </w:r>
    </w:p>
    <w:p>
      <w:pPr>
        <w:pStyle w:val="ListBullet"/>
        <w:spacing w:before="20" w:after="20"/>
        <w:ind w:left="567"/>
      </w:pPr>
      <w:r>
        <w:rPr>
          <w:rFonts w:ascii="Arial" w:hAnsi="Arial"/>
          <w:b w:val="0"/>
          <w:i w:val="0"/>
          <w:sz w:val="21"/>
        </w:rPr>
        <w:t>Usar el nombre MILPÍN con frecuencia. Que quede grabado.</w:t>
      </w:r>
    </w:p>
    <w:p>
      <w:pPr>
        <w:pStyle w:val="ListBullet"/>
        <w:spacing w:before="20" w:after="20"/>
        <w:ind w:left="567"/>
      </w:pPr>
      <w:r>
        <w:rPr>
          <w:rFonts w:ascii="Arial" w:hAnsi="Arial"/>
          <w:b w:val="0"/>
          <w:i w:val="0"/>
          <w:sz w:val="21"/>
        </w:rPr>
        <w:t>Referirse siempre a lo que el modelo ayuda al AGRICULTOR a decidir, no al dato abstracto.</w:t>
      </w:r>
    </w:p>
    <w:p>
      <w:pPr>
        <w:pStyle w:val="ListBullet"/>
        <w:spacing w:before="20" w:after="20"/>
        <w:ind w:left="567"/>
      </w:pPr>
      <w:r>
        <w:rPr>
          <w:rFonts w:ascii="Arial" w:hAnsi="Arial"/>
          <w:b w:val="0"/>
          <w:i w:val="0"/>
          <w:sz w:val="21"/>
        </w:rPr>
        <w:t>Cuando citen una métrica, decir inmediatamente qué significa en términos operativos.</w:t>
      </w:r>
    </w:p>
    <w:p>
      <w:pPr>
        <w:pStyle w:val="ListBullet"/>
        <w:spacing w:before="20" w:after="20"/>
        <w:ind w:left="567"/>
      </w:pPr>
      <w:r>
        <w:rPr>
          <w:rFonts w:ascii="Arial" w:hAnsi="Arial"/>
          <w:b w:val="0"/>
          <w:i w:val="0"/>
          <w:sz w:val="21"/>
        </w:rPr>
        <w:t>Conectar cada sección con la anterior: 'Como mostró Ximena / Erika...'</w:t>
      </w:r>
    </w:p>
    <w:p>
      <w:pPr>
        <w:pStyle w:val="ListBullet"/>
        <w:spacing w:before="20" w:after="20"/>
        <w:ind w:left="567"/>
      </w:pPr>
      <w:r>
        <w:rPr>
          <w:rFonts w:ascii="Arial" w:hAnsi="Arial"/>
          <w:b w:val="0"/>
          <w:i w:val="0"/>
          <w:sz w:val="21"/>
        </w:rPr>
        <w:t>El cierre de Omar debe decirse sin mirar la pantalla — memorizado, mirando al público.</w:t>
      </w:r>
    </w:p>
    <w:p>
      <w:pPr>
        <w:pStyle w:val="ListBullet"/>
        <w:spacing w:before="20" w:after="20"/>
        <w:ind w:left="567"/>
      </w:pPr>
      <w:r>
        <w:rPr>
          <w:rFonts w:ascii="Arial" w:hAnsi="Arial"/>
          <w:b w:val="0"/>
          <w:i w:val="0"/>
          <w:sz w:val="21"/>
        </w:rPr>
        <w:t>Al mencionar el 86.5%, hacer pausa. Dejar que el número aterrice antes de continuar.</w:t>
      </w:r>
    </w:p>
    <w:p>
      <w:pPr>
        <w:spacing w:before="160" w:after="40"/>
      </w:pPr>
      <w:r>
        <w:rPr>
          <w:rFonts w:ascii="Arial" w:hAnsi="Arial"/>
          <w:b/>
          <w:i w:val="0"/>
          <w:color w:val="0070C0"/>
          <w:sz w:val="24"/>
        </w:rPr>
        <w:t>Lo que NO hacer</w:t>
      </w:r>
    </w:p>
    <w:p>
      <w:pPr>
        <w:pStyle w:val="ListBullet"/>
        <w:spacing w:before="20" w:after="20"/>
        <w:ind w:left="567"/>
      </w:pPr>
      <w:r>
        <w:rPr>
          <w:rFonts w:ascii="Arial" w:hAnsi="Arial"/>
          <w:b w:val="0"/>
          <w:i w:val="0"/>
          <w:sz w:val="21"/>
        </w:rPr>
        <w:t>Leer las slides textualmente. Si alguien lee más del 20% desde la pantalla, pierde credibilidad.</w:t>
      </w:r>
    </w:p>
    <w:p>
      <w:pPr>
        <w:pStyle w:val="ListBullet"/>
        <w:spacing w:before="20" w:after="20"/>
        <w:ind w:left="567"/>
      </w:pPr>
      <w:r>
        <w:rPr>
          <w:rFonts w:ascii="Arial" w:hAnsi="Arial"/>
          <w:b w:val="0"/>
          <w:i w:val="0"/>
          <w:sz w:val="21"/>
        </w:rPr>
        <w:t>Decir 'básicamente' o 'como que' — usar lenguaje técnico preciso.</w:t>
      </w:r>
    </w:p>
    <w:p>
      <w:pPr>
        <w:pStyle w:val="ListBullet"/>
        <w:spacing w:before="20" w:after="20"/>
        <w:ind w:left="567"/>
      </w:pPr>
      <w:r>
        <w:rPr>
          <w:rFonts w:ascii="Arial" w:hAnsi="Arial"/>
          <w:b w:val="0"/>
          <w:i w:val="0"/>
          <w:sz w:val="21"/>
        </w:rPr>
        <w:t>Citar R² sin contexto: jamás decir 'R² de 0.87' sin agregar '...lo que significa que...'</w:t>
      </w:r>
    </w:p>
    <w:p>
      <w:pPr>
        <w:pStyle w:val="ListBullet"/>
        <w:spacing w:before="20" w:after="20"/>
        <w:ind w:left="567"/>
      </w:pPr>
      <w:r>
        <w:rPr>
          <w:rFonts w:ascii="Arial" w:hAnsi="Arial"/>
          <w:b w:val="0"/>
          <w:i w:val="0"/>
          <w:sz w:val="21"/>
        </w:rPr>
        <w:t>Terminar con 'eso sería todo' o 'cualquier pregunta' — terminar con la frase de cierre memorizada.</w:t>
      </w:r>
    </w:p>
    <w:p>
      <w:pPr>
        <w:pStyle w:val="ListBullet"/>
        <w:spacing w:before="20" w:after="20"/>
        <w:ind w:left="567"/>
      </w:pPr>
      <w:r>
        <w:rPr>
          <w:rFonts w:ascii="Arial" w:hAnsi="Arial"/>
          <w:b w:val="0"/>
          <w:i w:val="0"/>
          <w:sz w:val="21"/>
        </w:rPr>
        <w:t>Superar 15 minutos. Si el tiempo aprieta, recortar en partes descriptivas, no en los datos.</w:t>
      </w:r>
    </w:p>
    <w:p>
      <w:pPr>
        <w:pStyle w:val="ListBullet"/>
        <w:spacing w:before="20" w:after="20"/>
        <w:ind w:left="567"/>
      </w:pPr>
      <w:r>
        <w:rPr>
          <w:rFonts w:ascii="Arial" w:hAnsi="Arial"/>
          <w:b w:val="0"/>
          <w:i w:val="0"/>
          <w:sz w:val="21"/>
        </w:rPr>
        <w:t>Explicar la comparación NN vs XGBoost sin llegar a la conclusión clara: XGBoost porque es interpretable.</w:t>
      </w:r>
    </w:p>
    <w:p>
      <w:pPr>
        <w:spacing w:before="160" w:after="40"/>
      </w:pPr>
      <w:r>
        <w:rPr>
          <w:rFonts w:ascii="Arial" w:hAnsi="Arial"/>
          <w:b/>
          <w:i w:val="0"/>
          <w:color w:val="0070C0"/>
          <w:sz w:val="24"/>
        </w:rPr>
        <w:t>Cómo mantener la atención del público</w:t>
      </w:r>
    </w:p>
    <w:p>
      <w:pPr>
        <w:pStyle w:val="ListBullet"/>
        <w:spacing w:before="20" w:after="20"/>
        <w:ind w:left="567"/>
      </w:pPr>
      <w:r>
        <w:rPr>
          <w:rFonts w:ascii="Arial" w:hAnsi="Arial"/>
          <w:b w:val="0"/>
          <w:i w:val="0"/>
          <w:sz w:val="21"/>
        </w:rPr>
        <w:t>Abrir con el dato de 8,000 m³/ha — no con una introducción. La primera oración debe impactar.</w:t>
      </w:r>
    </w:p>
    <w:p>
      <w:pPr>
        <w:pStyle w:val="ListBullet"/>
        <w:spacing w:before="20" w:after="20"/>
        <w:ind w:left="567"/>
      </w:pPr>
      <w:r>
        <w:rPr>
          <w:rFonts w:ascii="Arial" w:hAnsi="Arial"/>
          <w:b w:val="0"/>
          <w:i w:val="0"/>
          <w:sz w:val="21"/>
        </w:rPr>
        <w:t>Usar preguntas retóricas en las transiciones: '¿Pero podíamos confiar en esos datos?' (pausa).</w:t>
      </w:r>
    </w:p>
    <w:p>
      <w:pPr>
        <w:pStyle w:val="ListBullet"/>
        <w:spacing w:before="20" w:after="20"/>
        <w:ind w:left="567"/>
      </w:pPr>
      <w:r>
        <w:rPr>
          <w:rFonts w:ascii="Arial" w:hAnsi="Arial"/>
          <w:b w:val="0"/>
          <w:i w:val="0"/>
          <w:sz w:val="21"/>
        </w:rPr>
        <w:t>El 86.5% es el momento de mayor impacto en la sección de datos — usarlo con énfasis.</w:t>
      </w:r>
    </w:p>
    <w:p>
      <w:pPr>
        <w:pStyle w:val="ListBullet"/>
        <w:spacing w:before="20" w:after="20"/>
        <w:ind w:left="567"/>
      </w:pPr>
      <w:r>
        <w:rPr>
          <w:rFonts w:ascii="Arial" w:hAnsi="Arial"/>
          <w:b w:val="0"/>
          <w:i w:val="0"/>
          <w:sz w:val="21"/>
        </w:rPr>
        <w:t>La comparación NN vs XGBoost debe construirse como un argumento, no como una lista.</w:t>
      </w:r>
    </w:p>
    <w:p>
      <w:pPr>
        <w:pStyle w:val="ListBullet"/>
        <w:spacing w:before="20" w:after="20"/>
        <w:ind w:left="567"/>
      </w:pPr>
      <w:r>
        <w:rPr>
          <w:rFonts w:ascii="Arial" w:hAnsi="Arial"/>
          <w:b w:val="0"/>
          <w:i w:val="0"/>
          <w:sz w:val="21"/>
        </w:rPr>
        <w:t>El asistente de voz es el momento más concreto y cercano — usarlo para humanizar el sistema.</w:t>
      </w:r>
    </w:p>
    <w:p>
      <w:pPr>
        <w:spacing w:before="160" w:after="40"/>
      </w:pPr>
      <w:r>
        <w:rPr>
          <w:rFonts w:ascii="Arial" w:hAnsi="Arial"/>
          <w:b/>
          <w:i w:val="0"/>
          <w:color w:val="0070C0"/>
          <w:sz w:val="24"/>
        </w:rPr>
        <w:t>Nivel técnico por sección</w:t>
      </w:r>
    </w:p>
    <w:tbl>
      <w:tblPr>
        <w:tblStyle w:val="TableGrid"/>
        <w:tblW w:type="auto" w:w="0"/>
        <w:tblLook w:firstColumn="1" w:firstRow="1" w:lastColumn="0" w:lastRow="0" w:noHBand="0" w:noVBand="1" w:val="04A0"/>
      </w:tblPr>
      <w:tblGrid>
        <w:gridCol w:w="2880"/>
        <w:gridCol w:w="2880"/>
        <w:gridCol w:w="2880"/>
      </w:tblGrid>
      <w:tr>
        <w:tc>
          <w:tcPr>
            <w:tcW w:type="dxa" w:w="2551"/>
            <w:shd w:val="clear" w:color="auto" w:fill="00466F"/>
          </w:tcPr>
          <w:p>
            <w:r>
              <w:rPr>
                <w:rFonts w:ascii="Arial" w:hAnsi="Arial"/>
                <w:b/>
                <w:i w:val="0"/>
                <w:color w:val="FFFFFF"/>
                <w:sz w:val="19"/>
              </w:rPr>
              <w:t>Sección</w:t>
            </w:r>
          </w:p>
        </w:tc>
        <w:tc>
          <w:tcPr>
            <w:tcW w:type="dxa" w:w="2268"/>
            <w:shd w:val="clear" w:color="auto" w:fill="00466F"/>
          </w:tcPr>
          <w:p>
            <w:r>
              <w:rPr>
                <w:rFonts w:ascii="Arial" w:hAnsi="Arial"/>
                <w:b/>
                <w:i w:val="0"/>
                <w:color w:val="FFFFFF"/>
                <w:sz w:val="19"/>
              </w:rPr>
              <w:t>Público objetivo</w:t>
            </w:r>
          </w:p>
        </w:tc>
        <w:tc>
          <w:tcPr>
            <w:tcW w:type="dxa" w:w="4252"/>
            <w:shd w:val="clear" w:color="auto" w:fill="00466F"/>
          </w:tcPr>
          <w:p>
            <w:r>
              <w:rPr>
                <w:rFonts w:ascii="Arial" w:hAnsi="Arial"/>
                <w:b/>
                <w:i w:val="0"/>
                <w:color w:val="FFFFFF"/>
                <w:sz w:val="19"/>
              </w:rPr>
              <w:t>Ajuste de lenguaje</w:t>
            </w:r>
          </w:p>
        </w:tc>
      </w:tr>
      <w:tr>
        <w:tc>
          <w:tcPr>
            <w:tcW w:type="dxa" w:w="2551"/>
          </w:tcPr>
          <w:p>
            <w:r>
              <w:rPr>
                <w:rFonts w:ascii="Arial" w:hAnsi="Arial"/>
                <w:b w:val="0"/>
                <w:i w:val="0"/>
                <w:sz w:val="19"/>
              </w:rPr>
              <w:t>Apertura + Canvas</w:t>
            </w:r>
          </w:p>
        </w:tc>
        <w:tc>
          <w:tcPr>
            <w:tcW w:type="dxa" w:w="2268"/>
          </w:tcPr>
          <w:p>
            <w:r>
              <w:rPr>
                <w:rFonts w:ascii="Arial" w:hAnsi="Arial"/>
                <w:b w:val="0"/>
                <w:i w:val="0"/>
                <w:sz w:val="19"/>
              </w:rPr>
              <w:t>Todos</w:t>
            </w:r>
          </w:p>
        </w:tc>
        <w:tc>
          <w:tcPr>
            <w:tcW w:type="dxa" w:w="4252"/>
          </w:tcPr>
          <w:p>
            <w:r>
              <w:rPr>
                <w:rFonts w:ascii="Arial" w:hAnsi="Arial"/>
                <w:b w:val="0"/>
                <w:i w:val="0"/>
                <w:sz w:val="19"/>
              </w:rPr>
              <w:t>Accesible, impacto primero</w:t>
            </w:r>
          </w:p>
        </w:tc>
      </w:tr>
      <w:tr>
        <w:tc>
          <w:tcPr>
            <w:tcW w:type="dxa" w:w="2551"/>
          </w:tcPr>
          <w:p>
            <w:r>
              <w:rPr>
                <w:rFonts w:ascii="Arial" w:hAnsi="Arial"/>
                <w:b w:val="0"/>
                <w:i w:val="0"/>
                <w:sz w:val="19"/>
              </w:rPr>
              <w:t>KPIs + EDA</w:t>
            </w:r>
          </w:p>
        </w:tc>
        <w:tc>
          <w:tcPr>
            <w:tcW w:type="dxa" w:w="2268"/>
          </w:tcPr>
          <w:p>
            <w:r>
              <w:rPr>
                <w:rFonts w:ascii="Arial" w:hAnsi="Arial"/>
                <w:b w:val="0"/>
                <w:i w:val="0"/>
                <w:sz w:val="19"/>
              </w:rPr>
              <w:t>Todos</w:t>
            </w:r>
          </w:p>
        </w:tc>
        <w:tc>
          <w:tcPr>
            <w:tcW w:type="dxa" w:w="4252"/>
          </w:tcPr>
          <w:p>
            <w:r>
              <w:rPr>
                <w:rFonts w:ascii="Arial" w:hAnsi="Arial"/>
                <w:b w:val="0"/>
                <w:i w:val="0"/>
                <w:sz w:val="19"/>
              </w:rPr>
              <w:t>Métricas con traducción operativa inmediata</w:t>
            </w:r>
          </w:p>
        </w:tc>
      </w:tr>
      <w:tr>
        <w:tc>
          <w:tcPr>
            <w:tcW w:type="dxa" w:w="2551"/>
          </w:tcPr>
          <w:p>
            <w:r>
              <w:rPr>
                <w:rFonts w:ascii="Arial" w:hAnsi="Arial"/>
                <w:b w:val="0"/>
                <w:i w:val="0"/>
                <w:sz w:val="19"/>
              </w:rPr>
              <w:t>FAO-56 + Pipeline ML</w:t>
            </w:r>
          </w:p>
        </w:tc>
        <w:tc>
          <w:tcPr>
            <w:tcW w:type="dxa" w:w="2268"/>
          </w:tcPr>
          <w:p>
            <w:r>
              <w:rPr>
                <w:rFonts w:ascii="Arial" w:hAnsi="Arial"/>
                <w:b w:val="0"/>
                <w:i w:val="0"/>
                <w:sz w:val="19"/>
              </w:rPr>
              <w:t>Técnico/académico</w:t>
            </w:r>
          </w:p>
        </w:tc>
        <w:tc>
          <w:tcPr>
            <w:tcW w:type="dxa" w:w="4252"/>
          </w:tcPr>
          <w:p>
            <w:r>
              <w:rPr>
                <w:rFonts w:ascii="Arial" w:hAnsi="Arial"/>
                <w:b w:val="0"/>
                <w:i w:val="0"/>
                <w:sz w:val="19"/>
              </w:rPr>
              <w:t>Rigor completo, sin simplificar en exceso</w:t>
            </w:r>
          </w:p>
        </w:tc>
      </w:tr>
      <w:tr>
        <w:tc>
          <w:tcPr>
            <w:tcW w:type="dxa" w:w="2551"/>
          </w:tcPr>
          <w:p>
            <w:r>
              <w:rPr>
                <w:rFonts w:ascii="Arial" w:hAnsi="Arial"/>
                <w:b w:val="0"/>
                <w:i w:val="0"/>
                <w:sz w:val="19"/>
              </w:rPr>
              <w:t>Comparación modelos</w:t>
            </w:r>
          </w:p>
        </w:tc>
        <w:tc>
          <w:tcPr>
            <w:tcW w:type="dxa" w:w="2268"/>
          </w:tcPr>
          <w:p>
            <w:r>
              <w:rPr>
                <w:rFonts w:ascii="Arial" w:hAnsi="Arial"/>
                <w:b w:val="0"/>
                <w:i w:val="0"/>
                <w:sz w:val="19"/>
              </w:rPr>
              <w:t>Técnico/académico</w:t>
            </w:r>
          </w:p>
        </w:tc>
        <w:tc>
          <w:tcPr>
            <w:tcW w:type="dxa" w:w="4252"/>
          </w:tcPr>
          <w:p>
            <w:r>
              <w:rPr>
                <w:rFonts w:ascii="Arial" w:hAnsi="Arial"/>
                <w:b w:val="0"/>
                <w:i w:val="0"/>
                <w:sz w:val="19"/>
              </w:rPr>
              <w:t>Argumentativo — justificar, no solo listar</w:t>
            </w:r>
          </w:p>
        </w:tc>
      </w:tr>
      <w:tr>
        <w:tc>
          <w:tcPr>
            <w:tcW w:type="dxa" w:w="2551"/>
          </w:tcPr>
          <w:p>
            <w:r>
              <w:rPr>
                <w:rFonts w:ascii="Arial" w:hAnsi="Arial"/>
                <w:b w:val="0"/>
                <w:i w:val="0"/>
                <w:sz w:val="19"/>
              </w:rPr>
              <w:t>Resultados + SHAP</w:t>
            </w:r>
          </w:p>
        </w:tc>
        <w:tc>
          <w:tcPr>
            <w:tcW w:type="dxa" w:w="2268"/>
          </w:tcPr>
          <w:p>
            <w:r>
              <w:rPr>
                <w:rFonts w:ascii="Arial" w:hAnsi="Arial"/>
                <w:b w:val="0"/>
                <w:i w:val="0"/>
                <w:sz w:val="19"/>
              </w:rPr>
              <w:t>Técnico</w:t>
            </w:r>
          </w:p>
        </w:tc>
        <w:tc>
          <w:tcPr>
            <w:tcW w:type="dxa" w:w="4252"/>
          </w:tcPr>
          <w:p>
            <w:r>
              <w:rPr>
                <w:rFonts w:ascii="Arial" w:hAnsi="Arial"/>
                <w:b w:val="0"/>
                <w:i w:val="0"/>
                <w:sz w:val="19"/>
              </w:rPr>
              <w:t>Métricas + interpretación agronómica</w:t>
            </w:r>
          </w:p>
        </w:tc>
      </w:tr>
      <w:tr>
        <w:tc>
          <w:tcPr>
            <w:tcW w:type="dxa" w:w="2551"/>
          </w:tcPr>
          <w:p>
            <w:r>
              <w:rPr>
                <w:rFonts w:ascii="Arial" w:hAnsi="Arial"/>
                <w:b w:val="0"/>
                <w:i w:val="0"/>
                <w:sz w:val="19"/>
              </w:rPr>
              <w:t>Voz + Cierre</w:t>
            </w:r>
          </w:p>
        </w:tc>
        <w:tc>
          <w:tcPr>
            <w:tcW w:type="dxa" w:w="2268"/>
          </w:tcPr>
          <w:p>
            <w:r>
              <w:rPr>
                <w:rFonts w:ascii="Arial" w:hAnsi="Arial"/>
                <w:b w:val="0"/>
                <w:i w:val="0"/>
                <w:sz w:val="19"/>
              </w:rPr>
              <w:t>Todos</w:t>
            </w:r>
          </w:p>
        </w:tc>
        <w:tc>
          <w:tcPr>
            <w:tcW w:type="dxa" w:w="4252"/>
          </w:tcPr>
          <w:p>
            <w:r>
              <w:rPr>
                <w:rFonts w:ascii="Arial" w:hAnsi="Arial"/>
                <w:b w:val="0"/>
                <w:i w:val="0"/>
                <w:sz w:val="19"/>
              </w:rPr>
              <w:t>Concreto, humano, memorable</w:t>
            </w:r>
          </w:p>
        </w:tc>
      </w:tr>
    </w:tbl>
    <w:p/>
    <w:p>
      <w:pPr>
        <w:spacing w:before="240" w:after="80"/>
      </w:pPr>
      <w:r>
        <w:rPr>
          <w:rFonts w:ascii="Arial" w:hAnsi="Arial"/>
          <w:b/>
          <w:i w:val="0"/>
          <w:color w:val="00467F"/>
          <w:sz w:val="26"/>
        </w:rPr>
        <w:t>MAPA COMPLETO DE SLIDES</w:t>
      </w:r>
    </w:p>
    <w:tbl>
      <w:tblPr>
        <w:tblStyle w:val="TableGrid"/>
        <w:tblW w:type="auto" w:w="0"/>
        <w:tblLook w:firstColumn="1" w:firstRow="1" w:lastColumn="0" w:lastRow="0" w:noHBand="0" w:noVBand="1" w:val="04A0"/>
      </w:tblPr>
      <w:tblGrid>
        <w:gridCol w:w="2160"/>
        <w:gridCol w:w="2160"/>
        <w:gridCol w:w="2160"/>
        <w:gridCol w:w="2160"/>
      </w:tblGrid>
      <w:tr>
        <w:tc>
          <w:tcPr>
            <w:tcW w:type="dxa" w:w="850"/>
            <w:shd w:val="clear" w:color="auto" w:fill="00466F"/>
          </w:tcPr>
          <w:p>
            <w:r>
              <w:rPr>
                <w:rFonts w:ascii="Arial" w:hAnsi="Arial"/>
                <w:b/>
                <w:i w:val="0"/>
                <w:color w:val="FFFFFF"/>
                <w:sz w:val="18"/>
              </w:rPr>
              <w:t>Slide</w:t>
            </w:r>
          </w:p>
        </w:tc>
        <w:tc>
          <w:tcPr>
            <w:tcW w:type="dxa" w:w="3969"/>
            <w:shd w:val="clear" w:color="auto" w:fill="00466F"/>
          </w:tcPr>
          <w:p>
            <w:r>
              <w:rPr>
                <w:rFonts w:ascii="Arial" w:hAnsi="Arial"/>
                <w:b/>
                <w:i w:val="0"/>
                <w:color w:val="FFFFFF"/>
                <w:sz w:val="18"/>
              </w:rPr>
              <w:t>Contenido</w:t>
            </w:r>
          </w:p>
        </w:tc>
        <w:tc>
          <w:tcPr>
            <w:tcW w:type="dxa" w:w="1417"/>
            <w:shd w:val="clear" w:color="auto" w:fill="00466F"/>
          </w:tcPr>
          <w:p>
            <w:r>
              <w:rPr>
                <w:rFonts w:ascii="Arial" w:hAnsi="Arial"/>
                <w:b/>
                <w:i w:val="0"/>
                <w:color w:val="FFFFFF"/>
                <w:sz w:val="18"/>
              </w:rPr>
              <w:t>Speaker</w:t>
            </w:r>
          </w:p>
        </w:tc>
        <w:tc>
          <w:tcPr>
            <w:tcW w:type="dxa" w:w="2835"/>
            <w:shd w:val="clear" w:color="auto" w:fill="00466F"/>
          </w:tcPr>
          <w:p>
            <w:r>
              <w:rPr>
                <w:rFonts w:ascii="Arial" w:hAnsi="Arial"/>
                <w:b/>
                <w:i w:val="0"/>
                <w:color w:val="FFFFFF"/>
                <w:sz w:val="18"/>
              </w:rPr>
              <w:t>Nota de presentación</w:t>
            </w:r>
          </w:p>
        </w:tc>
      </w:tr>
      <w:tr>
        <w:tc>
          <w:tcPr>
            <w:tcW w:type="dxa" w:w="850"/>
            <w:shd w:val="clear" w:color="auto" w:fill="F2F2F2"/>
          </w:tcPr>
          <w:p>
            <w:r>
              <w:rPr>
                <w:rFonts w:ascii="Arial" w:hAnsi="Arial"/>
                <w:b w:val="0"/>
                <w:i w:val="0"/>
                <w:sz w:val="18"/>
              </w:rPr>
              <w:t>1</w:t>
            </w:r>
          </w:p>
        </w:tc>
        <w:tc>
          <w:tcPr>
            <w:tcW w:type="dxa" w:w="3969"/>
            <w:shd w:val="clear" w:color="auto" w:fill="F2F2F2"/>
          </w:tcPr>
          <w:p>
            <w:r>
              <w:rPr>
                <w:rFonts w:ascii="Arial" w:hAnsi="Arial"/>
                <w:b w:val="0"/>
                <w:i w:val="0"/>
                <w:sz w:val="18"/>
              </w:rPr>
              <w:t>Portada / Blank</w:t>
            </w:r>
          </w:p>
        </w:tc>
        <w:tc>
          <w:tcPr>
            <w:tcW w:type="dxa" w:w="1417"/>
            <w:shd w:val="clear" w:color="auto" w:fill="F2F2F2"/>
          </w:tcPr>
          <w:p>
            <w:r>
              <w:rPr>
                <w:rFonts w:ascii="Arial" w:hAnsi="Arial"/>
                <w:b w:val="0"/>
                <w:i w:val="0"/>
                <w:sz w:val="18"/>
              </w:rPr>
              <w:t>—</w:t>
            </w:r>
          </w:p>
        </w:tc>
        <w:tc>
          <w:tcPr>
            <w:tcW w:type="dxa" w:w="2835"/>
            <w:shd w:val="clear" w:color="auto" w:fill="F2F2F2"/>
          </w:tcPr>
          <w:p>
            <w:r>
              <w:rPr>
                <w:rFonts w:ascii="Arial" w:hAnsi="Arial"/>
                <w:b w:val="0"/>
                <w:i w:val="0"/>
                <w:sz w:val="18"/>
              </w:rPr>
              <w:t>Transición</w:t>
            </w:r>
          </w:p>
        </w:tc>
      </w:tr>
      <w:tr>
        <w:tc>
          <w:tcPr>
            <w:tcW w:type="dxa" w:w="850"/>
            <w:shd w:val="clear" w:color="auto" w:fill="FFFFFF"/>
          </w:tcPr>
          <w:p>
            <w:r>
              <w:rPr>
                <w:rFonts w:ascii="Arial" w:hAnsi="Arial"/>
                <w:b w:val="0"/>
                <w:i w:val="0"/>
                <w:sz w:val="18"/>
              </w:rPr>
              <w:t>2</w:t>
            </w:r>
          </w:p>
        </w:tc>
        <w:tc>
          <w:tcPr>
            <w:tcW w:type="dxa" w:w="3969"/>
            <w:shd w:val="clear" w:color="auto" w:fill="FFFFFF"/>
          </w:tcPr>
          <w:p>
            <w:r>
              <w:rPr>
                <w:rFonts w:ascii="Arial" w:hAnsi="Arial"/>
                <w:b w:val="0"/>
                <w:i w:val="0"/>
                <w:sz w:val="18"/>
              </w:rPr>
              <w:t>SONORA CAJEME 'VALLE DEL YAQUI'</w:t>
            </w:r>
          </w:p>
        </w:tc>
        <w:tc>
          <w:tcPr>
            <w:tcW w:type="dxa" w:w="1417"/>
            <w:shd w:val="clear" w:color="auto" w:fill="FFFFFF"/>
          </w:tcPr>
          <w:p>
            <w:r>
              <w:rPr>
                <w:rFonts w:ascii="Arial" w:hAnsi="Arial"/>
                <w:b w:val="0"/>
                <w:i w:val="0"/>
                <w:sz w:val="18"/>
              </w:rPr>
              <w:t>Ximena</w:t>
            </w:r>
          </w:p>
        </w:tc>
        <w:tc>
          <w:tcPr>
            <w:tcW w:type="dxa" w:w="2835"/>
            <w:shd w:val="clear" w:color="auto" w:fill="FFFFFF"/>
          </w:tcPr>
          <w:p>
            <w:r>
              <w:rPr>
                <w:rFonts w:ascii="Arial" w:hAnsi="Arial"/>
                <w:b w:val="0"/>
                <w:i w:val="0"/>
                <w:sz w:val="18"/>
              </w:rPr>
              <w:t>Apertura con dato de 8,000 m³/ha</w:t>
            </w:r>
          </w:p>
        </w:tc>
      </w:tr>
      <w:tr>
        <w:tc>
          <w:tcPr>
            <w:tcW w:type="dxa" w:w="850"/>
            <w:shd w:val="clear" w:color="auto" w:fill="F2F2F2"/>
          </w:tcPr>
          <w:p>
            <w:r>
              <w:rPr>
                <w:rFonts w:ascii="Arial" w:hAnsi="Arial"/>
                <w:b w:val="0"/>
                <w:i w:val="0"/>
                <w:sz w:val="18"/>
              </w:rPr>
              <w:t>3</w:t>
            </w:r>
          </w:p>
        </w:tc>
        <w:tc>
          <w:tcPr>
            <w:tcW w:type="dxa" w:w="3969"/>
            <w:shd w:val="clear" w:color="auto" w:fill="F2F2F2"/>
          </w:tcPr>
          <w:p>
            <w:r>
              <w:rPr>
                <w:rFonts w:ascii="Arial" w:hAnsi="Arial"/>
                <w:b w:val="0"/>
                <w:i w:val="0"/>
                <w:sz w:val="18"/>
              </w:rPr>
              <w:t>MODELO CANVAS</w:t>
            </w:r>
          </w:p>
        </w:tc>
        <w:tc>
          <w:tcPr>
            <w:tcW w:type="dxa" w:w="1417"/>
            <w:shd w:val="clear" w:color="auto" w:fill="F2F2F2"/>
          </w:tcPr>
          <w:p>
            <w:r>
              <w:rPr>
                <w:rFonts w:ascii="Arial" w:hAnsi="Arial"/>
                <w:b w:val="0"/>
                <w:i w:val="0"/>
                <w:sz w:val="18"/>
              </w:rPr>
              <w:t>Ximena</w:t>
            </w:r>
          </w:p>
        </w:tc>
        <w:tc>
          <w:tcPr>
            <w:tcW w:type="dxa" w:w="2835"/>
            <w:shd w:val="clear" w:color="auto" w:fill="F2F2F2"/>
          </w:tcPr>
          <w:p>
            <w:r>
              <w:rPr>
                <w:rFonts w:ascii="Arial" w:hAnsi="Arial"/>
                <w:b w:val="0"/>
                <w:i w:val="0"/>
                <w:sz w:val="18"/>
              </w:rPr>
              <w:t>Propuesta de valor, segmentos, canales</w:t>
            </w:r>
          </w:p>
        </w:tc>
      </w:tr>
      <w:tr>
        <w:tc>
          <w:tcPr>
            <w:tcW w:type="dxa" w:w="850"/>
            <w:shd w:val="clear" w:color="auto" w:fill="FFFFFF"/>
          </w:tcPr>
          <w:p>
            <w:r>
              <w:rPr>
                <w:rFonts w:ascii="Arial" w:hAnsi="Arial"/>
                <w:b w:val="0"/>
                <w:i w:val="0"/>
                <w:sz w:val="18"/>
              </w:rPr>
              <w:t>4</w:t>
            </w:r>
          </w:p>
        </w:tc>
        <w:tc>
          <w:tcPr>
            <w:tcW w:type="dxa" w:w="3969"/>
            <w:shd w:val="clear" w:color="auto" w:fill="FFFFFF"/>
          </w:tcPr>
          <w:p>
            <w:r>
              <w:rPr>
                <w:rFonts w:ascii="Arial" w:hAnsi="Arial"/>
                <w:b w:val="0"/>
                <w:i w:val="0"/>
                <w:sz w:val="18"/>
              </w:rPr>
              <w:t>KPIs CENTRALES (Hídrico, Económico, Energético)</w:t>
            </w:r>
          </w:p>
        </w:tc>
        <w:tc>
          <w:tcPr>
            <w:tcW w:type="dxa" w:w="1417"/>
            <w:shd w:val="clear" w:color="auto" w:fill="FFFFFF"/>
          </w:tcPr>
          <w:p>
            <w:r>
              <w:rPr>
                <w:rFonts w:ascii="Arial" w:hAnsi="Arial"/>
                <w:b w:val="0"/>
                <w:i w:val="0"/>
                <w:sz w:val="18"/>
              </w:rPr>
              <w:t>Ximena</w:t>
            </w:r>
          </w:p>
        </w:tc>
        <w:tc>
          <w:tcPr>
            <w:tcW w:type="dxa" w:w="2835"/>
            <w:shd w:val="clear" w:color="auto" w:fill="FFFFFF"/>
          </w:tcPr>
          <w:p>
            <w:r>
              <w:rPr>
                <w:rFonts w:ascii="Arial" w:hAnsi="Arial"/>
                <w:b w:val="0"/>
                <w:i w:val="0"/>
                <w:sz w:val="18"/>
              </w:rPr>
              <w:t>3,360 MXN/ha + 700 kWh/ciclo</w:t>
            </w:r>
          </w:p>
        </w:tc>
      </w:tr>
      <w:tr>
        <w:tc>
          <w:tcPr>
            <w:tcW w:type="dxa" w:w="850"/>
            <w:shd w:val="clear" w:color="auto" w:fill="F2F2F2"/>
          </w:tcPr>
          <w:p>
            <w:r>
              <w:rPr>
                <w:rFonts w:ascii="Arial" w:hAnsi="Arial"/>
                <w:b w:val="0"/>
                <w:i w:val="0"/>
                <w:sz w:val="18"/>
              </w:rPr>
              <w:t>5</w:t>
            </w:r>
          </w:p>
        </w:tc>
        <w:tc>
          <w:tcPr>
            <w:tcW w:type="dxa" w:w="3969"/>
            <w:shd w:val="clear" w:color="auto" w:fill="F2F2F2"/>
          </w:tcPr>
          <w:p>
            <w:r>
              <w:rPr>
                <w:rFonts w:ascii="Arial" w:hAnsi="Arial"/>
                <w:b w:val="0"/>
                <w:i w:val="0"/>
                <w:sz w:val="18"/>
              </w:rPr>
              <w:t>HALLAZGOS CLAVE DEL EDA — distribución log-normal</w:t>
            </w:r>
          </w:p>
        </w:tc>
        <w:tc>
          <w:tcPr>
            <w:tcW w:type="dxa" w:w="1417"/>
            <w:shd w:val="clear" w:color="auto" w:fill="F2F2F2"/>
          </w:tcPr>
          <w:p>
            <w:r>
              <w:rPr>
                <w:rFonts w:ascii="Arial" w:hAnsi="Arial"/>
                <w:b w:val="0"/>
                <w:i w:val="0"/>
                <w:sz w:val="18"/>
              </w:rPr>
              <w:t>Ximena</w:t>
            </w:r>
          </w:p>
        </w:tc>
        <w:tc>
          <w:tcPr>
            <w:tcW w:type="dxa" w:w="2835"/>
            <w:shd w:val="clear" w:color="auto" w:fill="F2F2F2"/>
          </w:tcPr>
          <w:p>
            <w:r>
              <w:rPr>
                <w:rFonts w:ascii="Arial" w:hAnsi="Arial"/>
                <w:b w:val="0"/>
                <w:i w:val="0"/>
                <w:sz w:val="18"/>
              </w:rPr>
              <w:t>Referir gráfica</w:t>
            </w:r>
          </w:p>
        </w:tc>
      </w:tr>
      <w:tr>
        <w:tc>
          <w:tcPr>
            <w:tcW w:type="dxa" w:w="850"/>
            <w:shd w:val="clear" w:color="auto" w:fill="FFFFFF"/>
          </w:tcPr>
          <w:p>
            <w:r>
              <w:rPr>
                <w:rFonts w:ascii="Arial" w:hAnsi="Arial"/>
                <w:b w:val="0"/>
                <w:i w:val="0"/>
                <w:sz w:val="18"/>
              </w:rPr>
              <w:t>6</w:t>
            </w:r>
          </w:p>
        </w:tc>
        <w:tc>
          <w:tcPr>
            <w:tcW w:type="dxa" w:w="3969"/>
            <w:shd w:val="clear" w:color="auto" w:fill="FFFFFF"/>
          </w:tcPr>
          <w:p>
            <w:r>
              <w:rPr>
                <w:rFonts w:ascii="Arial" w:hAnsi="Arial"/>
                <w:b w:val="0"/>
                <w:i w:val="0"/>
                <w:sz w:val="18"/>
              </w:rPr>
              <w:t>PERIODO AGRÍCOLA — gráfico consumo</w:t>
            </w:r>
          </w:p>
        </w:tc>
        <w:tc>
          <w:tcPr>
            <w:tcW w:type="dxa" w:w="1417"/>
            <w:shd w:val="clear" w:color="auto" w:fill="FFFFFF"/>
          </w:tcPr>
          <w:p>
            <w:r>
              <w:rPr>
                <w:rFonts w:ascii="Arial" w:hAnsi="Arial"/>
                <w:b w:val="0"/>
                <w:i w:val="0"/>
                <w:sz w:val="18"/>
              </w:rPr>
              <w:t>Erika</w:t>
            </w:r>
          </w:p>
        </w:tc>
        <w:tc>
          <w:tcPr>
            <w:tcW w:type="dxa" w:w="2835"/>
            <w:shd w:val="clear" w:color="auto" w:fill="FFFFFF"/>
          </w:tcPr>
          <w:p>
            <w:r>
              <w:rPr>
                <w:rFonts w:ascii="Arial" w:hAnsi="Arial"/>
                <w:b w:val="0"/>
                <w:i w:val="0"/>
                <w:sz w:val="18"/>
              </w:rPr>
              <w:t>Transición a sobre-riego</w:t>
            </w:r>
          </w:p>
        </w:tc>
      </w:tr>
      <w:tr>
        <w:tc>
          <w:tcPr>
            <w:tcW w:type="dxa" w:w="850"/>
            <w:shd w:val="clear" w:color="auto" w:fill="F2F2F2"/>
          </w:tcPr>
          <w:p>
            <w:r>
              <w:rPr>
                <w:rFonts w:ascii="Arial" w:hAnsi="Arial"/>
                <w:b w:val="0"/>
                <w:i w:val="0"/>
                <w:sz w:val="18"/>
              </w:rPr>
              <w:t>7</w:t>
            </w:r>
          </w:p>
        </w:tc>
        <w:tc>
          <w:tcPr>
            <w:tcW w:type="dxa" w:w="3969"/>
            <w:shd w:val="clear" w:color="auto" w:fill="F2F2F2"/>
          </w:tcPr>
          <w:p>
            <w:r>
              <w:rPr>
                <w:rFonts w:ascii="Arial" w:hAnsi="Arial"/>
                <w:b/>
                <w:i w:val="0"/>
                <w:sz w:val="18"/>
              </w:rPr>
              <w:t>DESVIACIÓN RESPECTO FAO-56 — 86.5% / 2,275 m³/ha</w:t>
            </w:r>
          </w:p>
        </w:tc>
        <w:tc>
          <w:tcPr>
            <w:tcW w:type="dxa" w:w="1417"/>
            <w:shd w:val="clear" w:color="auto" w:fill="F2F2F2"/>
          </w:tcPr>
          <w:p>
            <w:r>
              <w:rPr>
                <w:rFonts w:ascii="Arial" w:hAnsi="Arial"/>
                <w:b w:val="0"/>
                <w:i w:val="0"/>
                <w:sz w:val="18"/>
              </w:rPr>
              <w:t>Erika</w:t>
            </w:r>
          </w:p>
        </w:tc>
        <w:tc>
          <w:tcPr>
            <w:tcW w:type="dxa" w:w="2835"/>
            <w:shd w:val="clear" w:color="auto" w:fill="F2F2F2"/>
          </w:tcPr>
          <w:p>
            <w:r>
              <w:rPr>
                <w:rFonts w:ascii="Arial" w:hAnsi="Arial"/>
                <w:b w:val="0"/>
                <w:i w:val="0"/>
                <w:sz w:val="18"/>
              </w:rPr>
              <w:t>DATO MÁS IMPACTANTE — pausa</w:t>
            </w:r>
          </w:p>
        </w:tc>
      </w:tr>
      <w:tr>
        <w:tc>
          <w:tcPr>
            <w:tcW w:type="dxa" w:w="850"/>
            <w:shd w:val="clear" w:color="auto" w:fill="FFFFFF"/>
          </w:tcPr>
          <w:p>
            <w:r>
              <w:rPr>
                <w:rFonts w:ascii="Arial" w:hAnsi="Arial"/>
                <w:b w:val="0"/>
                <w:i w:val="0"/>
                <w:sz w:val="18"/>
              </w:rPr>
              <w:t>8</w:t>
            </w:r>
          </w:p>
        </w:tc>
        <w:tc>
          <w:tcPr>
            <w:tcW w:type="dxa" w:w="3969"/>
            <w:shd w:val="clear" w:color="auto" w:fill="FFFFFF"/>
          </w:tcPr>
          <w:p>
            <w:r>
              <w:rPr>
                <w:rFonts w:ascii="Arial" w:hAnsi="Arial"/>
                <w:b w:val="0"/>
                <w:i w:val="0"/>
                <w:sz w:val="18"/>
              </w:rPr>
              <w:t>VALIDACIÓN FAO-56 — Penman-Monteith + Hargreaves</w:t>
            </w:r>
          </w:p>
        </w:tc>
        <w:tc>
          <w:tcPr>
            <w:tcW w:type="dxa" w:w="1417"/>
            <w:shd w:val="clear" w:color="auto" w:fill="FFFFFF"/>
          </w:tcPr>
          <w:p>
            <w:r>
              <w:rPr>
                <w:rFonts w:ascii="Arial" w:hAnsi="Arial"/>
                <w:b w:val="0"/>
                <w:i w:val="0"/>
                <w:sz w:val="18"/>
              </w:rPr>
              <w:t>Erika</w:t>
            </w:r>
          </w:p>
        </w:tc>
        <w:tc>
          <w:tcPr>
            <w:tcW w:type="dxa" w:w="2835"/>
            <w:shd w:val="clear" w:color="auto" w:fill="FFFFFF"/>
          </w:tcPr>
          <w:p>
            <w:r>
              <w:rPr>
                <w:rFonts w:ascii="Arial" w:hAnsi="Arial"/>
                <w:b w:val="0"/>
                <w:i w:val="0"/>
                <w:sz w:val="18"/>
              </w:rPr>
              <w:t>Explicar fallback</w:t>
            </w:r>
          </w:p>
        </w:tc>
      </w:tr>
      <w:tr>
        <w:tc>
          <w:tcPr>
            <w:tcW w:type="dxa" w:w="850"/>
            <w:shd w:val="clear" w:color="auto" w:fill="F2F2F2"/>
          </w:tcPr>
          <w:p>
            <w:r>
              <w:rPr>
                <w:rFonts w:ascii="Arial" w:hAnsi="Arial"/>
                <w:b w:val="0"/>
                <w:i w:val="0"/>
                <w:sz w:val="18"/>
              </w:rPr>
              <w:t>9</w:t>
            </w:r>
          </w:p>
        </w:tc>
        <w:tc>
          <w:tcPr>
            <w:tcW w:type="dxa" w:w="3969"/>
            <w:shd w:val="clear" w:color="auto" w:fill="F2F2F2"/>
          </w:tcPr>
          <w:p>
            <w:r>
              <w:rPr>
                <w:rFonts w:ascii="Arial" w:hAnsi="Arial"/>
                <w:b w:val="0"/>
                <w:i w:val="0"/>
                <w:sz w:val="18"/>
              </w:rPr>
              <w:t>ETo MÉTRICAS — 1,767 / 5,296 / 15 mm</w:t>
            </w:r>
          </w:p>
        </w:tc>
        <w:tc>
          <w:tcPr>
            <w:tcW w:type="dxa" w:w="1417"/>
            <w:shd w:val="clear" w:color="auto" w:fill="F2F2F2"/>
          </w:tcPr>
          <w:p>
            <w:r>
              <w:rPr>
                <w:rFonts w:ascii="Arial" w:hAnsi="Arial"/>
                <w:b w:val="0"/>
                <w:i w:val="0"/>
                <w:sz w:val="18"/>
              </w:rPr>
              <w:t>Erika</w:t>
            </w:r>
          </w:p>
        </w:tc>
        <w:tc>
          <w:tcPr>
            <w:tcW w:type="dxa" w:w="2835"/>
            <w:shd w:val="clear" w:color="auto" w:fill="F2F2F2"/>
          </w:tcPr>
          <w:p>
            <w:r>
              <w:rPr>
                <w:rFonts w:ascii="Arial" w:hAnsi="Arial"/>
                <w:b w:val="0"/>
                <w:i w:val="0"/>
                <w:sz w:val="18"/>
              </w:rPr>
              <w:t>0.29% / 0.88% / 0.00% error</w:t>
            </w:r>
          </w:p>
        </w:tc>
      </w:tr>
      <w:tr>
        <w:tc>
          <w:tcPr>
            <w:tcW w:type="dxa" w:w="850"/>
            <w:shd w:val="clear" w:color="auto" w:fill="FFFFFF"/>
          </w:tcPr>
          <w:p>
            <w:r>
              <w:rPr>
                <w:rFonts w:ascii="Arial" w:hAnsi="Arial"/>
                <w:b w:val="0"/>
                <w:i w:val="0"/>
                <w:sz w:val="18"/>
              </w:rPr>
              <w:t>10</w:t>
            </w:r>
          </w:p>
        </w:tc>
        <w:tc>
          <w:tcPr>
            <w:tcW w:type="dxa" w:w="3969"/>
            <w:shd w:val="clear" w:color="auto" w:fill="FFFFFF"/>
          </w:tcPr>
          <w:p>
            <w:r>
              <w:rPr>
                <w:rFonts w:ascii="Arial" w:hAnsi="Arial"/>
                <w:b w:val="0"/>
                <w:i w:val="0"/>
                <w:sz w:val="18"/>
              </w:rPr>
              <w:t>Visual (Pipeline visual o transición)</w:t>
            </w:r>
          </w:p>
        </w:tc>
        <w:tc>
          <w:tcPr>
            <w:tcW w:type="dxa" w:w="1417"/>
            <w:shd w:val="clear" w:color="auto" w:fill="FFFFFF"/>
          </w:tcPr>
          <w:p>
            <w:r>
              <w:rPr>
                <w:rFonts w:ascii="Arial" w:hAnsi="Arial"/>
                <w:b w:val="0"/>
                <w:i w:val="0"/>
                <w:sz w:val="18"/>
              </w:rPr>
              <w:t>Erika</w:t>
            </w:r>
          </w:p>
        </w:tc>
        <w:tc>
          <w:tcPr>
            <w:tcW w:type="dxa" w:w="2835"/>
            <w:shd w:val="clear" w:color="auto" w:fill="FFFFFF"/>
          </w:tcPr>
          <w:p>
            <w:r>
              <w:rPr>
                <w:rFonts w:ascii="Arial" w:hAnsi="Arial"/>
                <w:b w:val="0"/>
                <w:i w:val="0"/>
                <w:sz w:val="18"/>
              </w:rPr>
              <w:t>Pausa visual — preparar pipeline</w:t>
            </w:r>
          </w:p>
        </w:tc>
      </w:tr>
      <w:tr>
        <w:tc>
          <w:tcPr>
            <w:tcW w:type="dxa" w:w="850"/>
            <w:shd w:val="clear" w:color="auto" w:fill="F2F2F2"/>
          </w:tcPr>
          <w:p>
            <w:r>
              <w:rPr>
                <w:rFonts w:ascii="Arial" w:hAnsi="Arial"/>
                <w:b w:val="0"/>
                <w:i w:val="0"/>
                <w:sz w:val="18"/>
              </w:rPr>
              <w:t>11</w:t>
            </w:r>
          </w:p>
        </w:tc>
        <w:tc>
          <w:tcPr>
            <w:tcW w:type="dxa" w:w="3969"/>
            <w:shd w:val="clear" w:color="auto" w:fill="F2F2F2"/>
          </w:tcPr>
          <w:p>
            <w:r>
              <w:rPr>
                <w:rFonts w:ascii="Arial" w:hAnsi="Arial"/>
                <w:b w:val="0"/>
                <w:i w:val="0"/>
                <w:sz w:val="18"/>
              </w:rPr>
              <w:t>PIPELINE ML — arquitectura</w:t>
            </w:r>
          </w:p>
        </w:tc>
        <w:tc>
          <w:tcPr>
            <w:tcW w:type="dxa" w:w="1417"/>
            <w:shd w:val="clear" w:color="auto" w:fill="F2F2F2"/>
          </w:tcPr>
          <w:p>
            <w:r>
              <w:rPr>
                <w:rFonts w:ascii="Arial" w:hAnsi="Arial"/>
                <w:b w:val="0"/>
                <w:i w:val="0"/>
                <w:sz w:val="18"/>
              </w:rPr>
              <w:t>Erika</w:t>
            </w:r>
          </w:p>
        </w:tc>
        <w:tc>
          <w:tcPr>
            <w:tcW w:type="dxa" w:w="2835"/>
            <w:shd w:val="clear" w:color="auto" w:fill="F2F2F2"/>
          </w:tcPr>
          <w:p>
            <w:r>
              <w:rPr>
                <w:rFonts w:ascii="Arial" w:hAnsi="Arial"/>
                <w:b w:val="0"/>
                <w:i w:val="0"/>
                <w:sz w:val="18"/>
              </w:rPr>
              <w:t>Receta: datos → predicción</w:t>
            </w:r>
          </w:p>
        </w:tc>
      </w:tr>
      <w:tr>
        <w:tc>
          <w:tcPr>
            <w:tcW w:type="dxa" w:w="850"/>
            <w:shd w:val="clear" w:color="auto" w:fill="FFFFFF"/>
          </w:tcPr>
          <w:p>
            <w:r>
              <w:rPr>
                <w:rFonts w:ascii="Arial" w:hAnsi="Arial"/>
                <w:b w:val="0"/>
                <w:i w:val="0"/>
                <w:sz w:val="18"/>
              </w:rPr>
              <w:t>12</w:t>
            </w:r>
          </w:p>
        </w:tc>
        <w:tc>
          <w:tcPr>
            <w:tcW w:type="dxa" w:w="3969"/>
            <w:shd w:val="clear" w:color="auto" w:fill="FFFFFF"/>
          </w:tcPr>
          <w:p>
            <w:r>
              <w:rPr>
                <w:rFonts w:ascii="Arial" w:hAnsi="Arial"/>
                <w:b w:val="0"/>
                <w:i w:val="0"/>
                <w:sz w:val="18"/>
              </w:rPr>
              <w:t>COMPARACIÓN MODELOS — XGBoost vs. NN</w:t>
            </w:r>
          </w:p>
        </w:tc>
        <w:tc>
          <w:tcPr>
            <w:tcW w:type="dxa" w:w="1417"/>
            <w:shd w:val="clear" w:color="auto" w:fill="FFFFFF"/>
          </w:tcPr>
          <w:p>
            <w:r>
              <w:rPr>
                <w:rFonts w:ascii="Arial" w:hAnsi="Arial"/>
                <w:b w:val="0"/>
                <w:i w:val="0"/>
                <w:sz w:val="18"/>
              </w:rPr>
              <w:t>Erika</w:t>
            </w:r>
          </w:p>
        </w:tc>
        <w:tc>
          <w:tcPr>
            <w:tcW w:type="dxa" w:w="2835"/>
            <w:shd w:val="clear" w:color="auto" w:fill="FFFFFF"/>
          </w:tcPr>
          <w:p>
            <w:r>
              <w:rPr>
                <w:rFonts w:ascii="Arial" w:hAnsi="Arial"/>
                <w:b w:val="0"/>
                <w:i w:val="0"/>
                <w:sz w:val="18"/>
              </w:rPr>
              <w:t>Argumentar interpretabilidad</w:t>
            </w:r>
          </w:p>
        </w:tc>
      </w:tr>
      <w:tr>
        <w:tc>
          <w:tcPr>
            <w:tcW w:type="dxa" w:w="850"/>
            <w:shd w:val="clear" w:color="auto" w:fill="F2F2F2"/>
          </w:tcPr>
          <w:p>
            <w:r>
              <w:rPr>
                <w:rFonts w:ascii="Arial" w:hAnsi="Arial"/>
                <w:b w:val="0"/>
                <w:i w:val="0"/>
                <w:sz w:val="18"/>
              </w:rPr>
              <w:t>13</w:t>
            </w:r>
          </w:p>
        </w:tc>
        <w:tc>
          <w:tcPr>
            <w:tcW w:type="dxa" w:w="3969"/>
            <w:shd w:val="clear" w:color="auto" w:fill="F2F2F2"/>
          </w:tcPr>
          <w:p>
            <w:r>
              <w:rPr>
                <w:rFonts w:ascii="Arial" w:hAnsi="Arial"/>
                <w:b w:val="0"/>
                <w:i w:val="0"/>
                <w:sz w:val="18"/>
              </w:rPr>
              <w:t>RESULTADOS — métricas + SHAP</w:t>
            </w:r>
          </w:p>
        </w:tc>
        <w:tc>
          <w:tcPr>
            <w:tcW w:type="dxa" w:w="1417"/>
            <w:shd w:val="clear" w:color="auto" w:fill="F2F2F2"/>
          </w:tcPr>
          <w:p>
            <w:r>
              <w:rPr>
                <w:rFonts w:ascii="Arial" w:hAnsi="Arial"/>
                <w:b w:val="0"/>
                <w:i w:val="0"/>
                <w:sz w:val="18"/>
              </w:rPr>
              <w:t>Omar</w:t>
            </w:r>
          </w:p>
        </w:tc>
        <w:tc>
          <w:tcPr>
            <w:tcW w:type="dxa" w:w="2835"/>
            <w:shd w:val="clear" w:color="auto" w:fill="F2F2F2"/>
          </w:tcPr>
          <w:p>
            <w:r>
              <w:rPr>
                <w:rFonts w:ascii="Arial" w:hAnsi="Arial"/>
                <w:b w:val="0"/>
                <w:i w:val="0"/>
                <w:sz w:val="18"/>
              </w:rPr>
              <w:t>Insertar métricas reales</w:t>
            </w:r>
          </w:p>
        </w:tc>
      </w:tr>
      <w:tr>
        <w:tc>
          <w:tcPr>
            <w:tcW w:type="dxa" w:w="850"/>
            <w:shd w:val="clear" w:color="auto" w:fill="FFFFFF"/>
          </w:tcPr>
          <w:p>
            <w:r>
              <w:rPr>
                <w:rFonts w:ascii="Arial" w:hAnsi="Arial"/>
                <w:b w:val="0"/>
                <w:i w:val="0"/>
                <w:sz w:val="18"/>
              </w:rPr>
              <w:t>14</w:t>
            </w:r>
          </w:p>
        </w:tc>
        <w:tc>
          <w:tcPr>
            <w:tcW w:type="dxa" w:w="3969"/>
            <w:shd w:val="clear" w:color="auto" w:fill="FFFFFF"/>
          </w:tcPr>
          <w:p>
            <w:r>
              <w:rPr>
                <w:rFonts w:ascii="Arial" w:hAnsi="Arial"/>
                <w:b w:val="0"/>
                <w:i w:val="0"/>
                <w:sz w:val="18"/>
              </w:rPr>
              <w:t>ASISTENTE DE VOZ — pipeline Whisper→LLM→TTS</w:t>
            </w:r>
          </w:p>
        </w:tc>
        <w:tc>
          <w:tcPr>
            <w:tcW w:type="dxa" w:w="1417"/>
            <w:shd w:val="clear" w:color="auto" w:fill="FFFFFF"/>
          </w:tcPr>
          <w:p>
            <w:r>
              <w:rPr>
                <w:rFonts w:ascii="Arial" w:hAnsi="Arial"/>
                <w:b w:val="0"/>
                <w:i w:val="0"/>
                <w:sz w:val="18"/>
              </w:rPr>
              <w:t>Omar</w:t>
            </w:r>
          </w:p>
        </w:tc>
        <w:tc>
          <w:tcPr>
            <w:tcW w:type="dxa" w:w="2835"/>
            <w:shd w:val="clear" w:color="auto" w:fill="FFFFFF"/>
          </w:tcPr>
          <w:p>
            <w:r>
              <w:rPr>
                <w:rFonts w:ascii="Arial" w:hAnsi="Arial"/>
                <w:b w:val="0"/>
                <w:i w:val="0"/>
                <w:sz w:val="18"/>
              </w:rPr>
              <w:t>Demo o descripción concreta</w:t>
            </w:r>
          </w:p>
        </w:tc>
      </w:tr>
      <w:tr>
        <w:tc>
          <w:tcPr>
            <w:tcW w:type="dxa" w:w="850"/>
            <w:shd w:val="clear" w:color="auto" w:fill="F2F2F2"/>
          </w:tcPr>
          <w:p>
            <w:r>
              <w:rPr>
                <w:rFonts w:ascii="Arial" w:hAnsi="Arial"/>
                <w:b w:val="0"/>
                <w:i w:val="0"/>
                <w:sz w:val="18"/>
              </w:rPr>
              <w:t>15</w:t>
            </w:r>
          </w:p>
        </w:tc>
        <w:tc>
          <w:tcPr>
            <w:tcW w:type="dxa" w:w="3969"/>
            <w:shd w:val="clear" w:color="auto" w:fill="F2F2F2"/>
          </w:tcPr>
          <w:p>
            <w:r>
              <w:rPr>
                <w:rFonts w:ascii="Arial" w:hAnsi="Arial"/>
                <w:b w:val="0"/>
                <w:i w:val="0"/>
                <w:sz w:val="18"/>
              </w:rPr>
              <w:t>CIERRE / Blank</w:t>
            </w:r>
          </w:p>
        </w:tc>
        <w:tc>
          <w:tcPr>
            <w:tcW w:type="dxa" w:w="1417"/>
            <w:shd w:val="clear" w:color="auto" w:fill="F2F2F2"/>
          </w:tcPr>
          <w:p>
            <w:r>
              <w:rPr>
                <w:rFonts w:ascii="Arial" w:hAnsi="Arial"/>
                <w:b w:val="0"/>
                <w:i w:val="0"/>
                <w:sz w:val="18"/>
              </w:rPr>
              <w:t>Omar</w:t>
            </w:r>
          </w:p>
        </w:tc>
        <w:tc>
          <w:tcPr>
            <w:tcW w:type="dxa" w:w="2835"/>
            <w:shd w:val="clear" w:color="auto" w:fill="F2F2F2"/>
          </w:tcPr>
          <w:p>
            <w:r>
              <w:rPr>
                <w:rFonts w:ascii="Arial" w:hAnsi="Arial"/>
                <w:b w:val="0"/>
                <w:i w:val="0"/>
                <w:sz w:val="18"/>
              </w:rPr>
              <w:t>Memorizado, sin pantalla</w:t>
            </w:r>
          </w:p>
        </w:tc>
      </w:tr>
    </w:tbl>
    <w:p/>
    <w:p>
      <w:pPr>
        <w:spacing w:before="80" w:after="80"/>
        <w:pBdr>
          <w:bottom w:val="single" w:sz="6" w:space="1" w:color="2E75B6"/>
        </w:pBdr>
      </w:pPr>
    </w:p>
    <w:p>
      <w:pPr>
        <w:jc w:val="center"/>
      </w:pPr>
      <w:r>
        <w:rPr>
          <w:rFonts w:ascii="Arial" w:hAnsi="Arial"/>
          <w:b w:val="0"/>
          <w:i w:val="0"/>
          <w:color w:val="787878"/>
          <w:sz w:val="18"/>
        </w:rPr>
        <w:t>MILPÍN — Guión de Exposición v2.0  ·  Mayo 2026  ·  DSS Agrícola Valle del Yaqui  ·  Tercer Avance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