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2C3E50"/>
          <w:sz w:val="52"/>
          <w:szCs w:val="52"/>
        </w:rPr>
        <w:t xml:space="preserve">MILPÍN Water Intelligence Dashboard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Aplicación de Principios de Gestalt al Diseño de Visualización de Datos</w:t>
      </w:r>
    </w:p>
    <w:p>
      <w:pPr>
        <w:pBdr>
          <w:bottom w:val="single" w:color="7BB395" w:sz="8" w:space="1"/>
        </w:pBdr>
        <w:spacing w:after="480" w:before="0"/>
        <w:jc w:val="center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2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DR-041  ·  Módulo 3  ·  Valle del Yaqui, Sonora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Abril 2026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Parte 1 — Definición Estratégica: El "Por qué"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A3B28"/>
          <w:sz w:val="22"/>
          <w:szCs w:val="22"/>
        </w:rPr>
        <w:t xml:space="preserve">El siguiente documento establece los pilares estratégicos del MILPÍN Water Intelligence Dashboard, la herramienta de visualización de datos del sistema ERP agrícola MILPÍN, desarrollada para el Distrito de Riego DR-041 (Módulo 3), Valle del Yaqui, Sonora.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d8f60"/>
          <w:sz w:val="26"/>
          <w:szCs w:val="26"/>
        </w:rPr>
        <w:t xml:space="preserve">1.1  Objetivos de Datos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A3B28"/>
          <w:sz w:val="22"/>
          <w:szCs w:val="22"/>
        </w:rPr>
        <w:t xml:space="preserve">El dashboard debe responder de forma inmediata seis preguntas críticas para la toma de decisiones de riego: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960"/>
        <w:gridCol w:w="3160"/>
        <w:gridCol w:w="2600"/>
      </w:tblGrid>
      <w:tr>
        <w:trPr>
          <w:tblHeader/>
        </w:trPr>
        <w:tc>
          <w:tcPr>
            <w:tcW w:type="dxa" w:w="64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96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 del agricultor</w:t>
            </w:r>
          </w:p>
        </w:tc>
        <w:tc>
          <w:tcPr>
            <w:tcW w:type="dxa" w:w="316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 que la responde</w:t>
            </w:r>
          </w:p>
        </w:tc>
        <w:tc>
          <w:tcPr>
            <w:tcW w:type="dxa" w:w="26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decisión</w:t>
            </w:r>
          </w:p>
        </w:tc>
      </w:tr>
      <w:tr>
        <w:tc>
          <w:tcPr>
            <w:tcW w:type="dxa" w:w="6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8f60"/>
                <w:sz w:val="20"/>
                <w:szCs w:val="20"/>
              </w:rPr>
              <w:t xml:space="preserve">P1</w:t>
            </w:r>
          </w:p>
        </w:tc>
        <w:tc>
          <w:tcPr>
            <w:tcW w:type="dxa" w:w="2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3B28"/>
                <w:sz w:val="20"/>
                <w:szCs w:val="20"/>
              </w:rPr>
              <w:t xml:space="preserve">¿Cuánta agua estoy consumiendo este ciclo?</w:t>
            </w:r>
          </w:p>
        </w:tc>
        <w:tc>
          <w:tcPr>
            <w:tcW w:type="dxa" w:w="3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KPI "Consumo de Agua" (6,000 m³/ha) + gráfica de línea temporal</w:t>
            </w:r>
          </w:p>
        </w:tc>
        <w:tc>
          <w:tcPr>
            <w:tcW w:type="dxa" w:w="2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Toma de decisión inmediata del agricultor</w:t>
            </w:r>
          </w:p>
        </w:tc>
      </w:tr>
      <w:tr>
        <w:tc>
          <w:tcPr>
            <w:tcW w:type="dxa" w:w="6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8f60"/>
                <w:sz w:val="20"/>
                <w:szCs w:val="20"/>
              </w:rPr>
              <w:t xml:space="preserve">P2</w:t>
            </w:r>
          </w:p>
        </w:tc>
        <w:tc>
          <w:tcPr>
            <w:tcW w:type="dxa" w:w="2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3B28"/>
                <w:sz w:val="20"/>
                <w:szCs w:val="20"/>
              </w:rPr>
              <w:t xml:space="preserve">¿Voy en camino de cumplir la meta de 6,000 m³/ha?</w:t>
            </w:r>
          </w:p>
        </w:tc>
        <w:tc>
          <w:tcPr>
            <w:tcW w:type="dxa" w:w="3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Gráfica de línea: curva real vs. línea objetivo azul punteada</w:t>
            </w:r>
          </w:p>
        </w:tc>
        <w:tc>
          <w:tcPr>
            <w:tcW w:type="dxa" w:w="2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Control de ciclo semana a semana</w:t>
            </w:r>
          </w:p>
        </w:tc>
      </w:tr>
      <w:tr>
        <w:tc>
          <w:tcPr>
            <w:tcW w:type="dxa" w:w="6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8f60"/>
                <w:sz w:val="20"/>
                <w:szCs w:val="20"/>
              </w:rPr>
              <w:t xml:space="preserve">P3</w:t>
            </w:r>
          </w:p>
        </w:tc>
        <w:tc>
          <w:tcPr>
            <w:tcW w:type="dxa" w:w="2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3B28"/>
                <w:sz w:val="20"/>
                <w:szCs w:val="20"/>
              </w:rPr>
              <w:t xml:space="preserve">¿Qué zona/parcela necesita riego urgente?</w:t>
            </w:r>
          </w:p>
        </w:tc>
        <w:tc>
          <w:tcPr>
            <w:tcW w:type="dxa" w:w="3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Tabla de eventos + badges rojos "sobre meta"</w:t>
            </w:r>
          </w:p>
        </w:tc>
        <w:tc>
          <w:tcPr>
            <w:tcW w:type="dxa" w:w="2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Priorización de intervención de campo</w:t>
            </w:r>
          </w:p>
        </w:tc>
      </w:tr>
      <w:tr>
        <w:tc>
          <w:tcPr>
            <w:tcW w:type="dxa" w:w="6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8f60"/>
                <w:sz w:val="20"/>
                <w:szCs w:val="20"/>
              </w:rPr>
              <w:t xml:space="preserve">P4</w:t>
            </w:r>
          </w:p>
        </w:tc>
        <w:tc>
          <w:tcPr>
            <w:tcW w:type="dxa" w:w="2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3B28"/>
                <w:sz w:val="20"/>
                <w:szCs w:val="20"/>
              </w:rPr>
              <w:t xml:space="preserve">¿Cuánto dinero estoy ahorrando en bombeo?</w:t>
            </w:r>
          </w:p>
        </w:tc>
        <w:tc>
          <w:tcPr>
            <w:tcW w:type="dxa" w:w="3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KPI "Ahorro en Costo" ($3,360 MXN/ha/ciclo)</w:t>
            </w:r>
          </w:p>
        </w:tc>
        <w:tc>
          <w:tcPr>
            <w:tcW w:type="dxa" w:w="2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Argumento económico para adopción del sistema</w:t>
            </w:r>
          </w:p>
        </w:tc>
      </w:tr>
      <w:tr>
        <w:tc>
          <w:tcPr>
            <w:tcW w:type="dxa" w:w="6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8f60"/>
                <w:sz w:val="20"/>
                <w:szCs w:val="20"/>
              </w:rPr>
              <w:t xml:space="preserve">P5</w:t>
            </w:r>
          </w:p>
        </w:tc>
        <w:tc>
          <w:tcPr>
            <w:tcW w:type="dxa" w:w="2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3B28"/>
                <w:sz w:val="20"/>
                <w:szCs w:val="20"/>
              </w:rPr>
              <w:t xml:space="preserve">¿Qué cultivo consume más agua este ciclo?</w:t>
            </w:r>
          </w:p>
        </w:tc>
        <w:tc>
          <w:tcPr>
            <w:tcW w:type="dxa" w:w="3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Gráfica de barras: ETc (mm) por cultivo</w:t>
            </w:r>
          </w:p>
        </w:tc>
        <w:tc>
          <w:tcPr>
            <w:tcW w:type="dxa" w:w="2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Decisión de rotación de cultivos y planificación</w:t>
            </w:r>
          </w:p>
        </w:tc>
      </w:tr>
      <w:tr>
        <w:tc>
          <w:tcPr>
            <w:tcW w:type="dxa" w:w="6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8f60"/>
                <w:sz w:val="20"/>
                <w:szCs w:val="20"/>
              </w:rPr>
              <w:t xml:space="preserve">P6</w:t>
            </w:r>
          </w:p>
        </w:tc>
        <w:tc>
          <w:tcPr>
            <w:tcW w:type="dxa" w:w="29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3B28"/>
                <w:sz w:val="20"/>
                <w:szCs w:val="20"/>
              </w:rPr>
              <w:t xml:space="preserve">¿Qué tan seguido aceptan las recomendaciones?</w:t>
            </w:r>
          </w:p>
        </w:tc>
        <w:tc>
          <w:tcPr>
            <w:tcW w:type="dxa" w:w="31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KPI "Tasa de Adopción" (72%)</w:t>
            </w:r>
          </w:p>
        </w:tc>
        <w:tc>
          <w:tcPr>
            <w:tcW w:type="dxa" w:w="2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Métrica de usabilidad y confianza en el sistema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A3B28"/>
          <w:sz w:val="22"/>
          <w:szCs w:val="22"/>
        </w:rPr>
        <w:t xml:space="preserve">El KPI central del sistema es la reducción del consumo de agua de 8,000 m³/ha/ciclo a 6,000 m³/ha/ciclo, lo que representa un ahorro del 25% y un beneficio económico estimado de $3,360 MXN/ha/ciclo (tarifa CFE 9-CU, bombeo 80 m, $1.68 MXN/m³).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d8f60"/>
          <w:sz w:val="26"/>
          <w:szCs w:val="26"/>
        </w:rPr>
        <w:t xml:space="preserve">1.2  Consideraciones de Audiencia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A3B28"/>
          <w:sz w:val="22"/>
          <w:szCs w:val="22"/>
        </w:rPr>
        <w:t xml:space="preserve">El diseño debe ser técnico pero accesible para dos perfiles de usuario simultáneos: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3B28"/>
          <w:sz w:val="22"/>
          <w:szCs w:val="22"/>
        </w:rPr>
        <w:t xml:space="preserve">Perfil A — Agricultor del DR-041 (usuario primario)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3B28"/>
          <w:sz w:val="22"/>
          <w:szCs w:val="22"/>
        </w:rPr>
        <w:t xml:space="preserve">Acceso desde campo, pantallas de resolución media (tablet o laptop).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3B28"/>
          <w:sz w:val="22"/>
          <w:szCs w:val="22"/>
        </w:rPr>
        <w:t xml:space="preserve">Prioriza velocidad de lectura: en menos de 10 segundos debe saber si su consumo está en alerta.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3B28"/>
          <w:sz w:val="22"/>
          <w:szCs w:val="22"/>
        </w:rPr>
        <w:t xml:space="preserve">No necesita entender la estadística detrás de los modelos; solo las recomendaciones y el estado del ciclo.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3B28"/>
          <w:sz w:val="22"/>
          <w:szCs w:val="22"/>
        </w:rPr>
        <w:t xml:space="preserve">Idioma: español, sin jerga técnica en los títulos de módulos.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3B28"/>
          <w:sz w:val="22"/>
          <w:szCs w:val="22"/>
        </w:rPr>
        <w:t xml:space="preserve">Perfil B — Alumnos y académicos (usuario secundario, exposición)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3B28"/>
          <w:sz w:val="22"/>
          <w:szCs w:val="22"/>
        </w:rPr>
        <w:t xml:space="preserve">Evalúan la coherencia metodológica del sistema (FAO-56, K-Means, Gestalt).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3B28"/>
          <w:sz w:val="22"/>
          <w:szCs w:val="22"/>
        </w:rPr>
        <w:t xml:space="preserve">Buscan traza explicativa: ¿por qué cada módulo está donde está?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3B28"/>
          <w:sz w:val="22"/>
          <w:szCs w:val="22"/>
        </w:rPr>
        <w:t xml:space="preserve">Toleran mayor densidad de información pero siguen necesitando jerarquía visual clara.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3B28"/>
          <w:sz w:val="22"/>
          <w:szCs w:val="22"/>
        </w:rPr>
        <w:t xml:space="preserve">Evitar el desorden visual para facilitar la exposición ante el panel académico.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A3B28"/>
          <w:sz w:val="22"/>
          <w:szCs w:val="22"/>
        </w:rPr>
        <w:t xml:space="preserve">El diseño resuelve ambos perfiles con el mismo layout: jerarquía visual progresiva (de resumen a detalle) que funciona tanto para una lectura rápida de 10 segundos como para un análisis profundo de 10 minutos.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d8f60"/>
          <w:sz w:val="26"/>
          <w:szCs w:val="26"/>
        </w:rPr>
        <w:t xml:space="preserve">1.3  Principio Rector de Diseño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d8f60"/>
          <w:sz w:val="22"/>
          <w:szCs w:val="22"/>
        </w:rPr>
        <w:t xml:space="preserve">"No visualizamos datos para que sean bonitos. Los visualizamos para que generen una acción."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A3B28"/>
          <w:sz w:val="22"/>
          <w:szCs w:val="22"/>
        </w:rPr>
        <w:t xml:space="preserve">— Adaptado de Storytelling con Power BI (Cruz Arrona, 2026)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A3B28"/>
          <w:sz w:val="22"/>
          <w:szCs w:val="22"/>
        </w:rPr>
        <w:t xml:space="preserve">Cada módulo del dashboard responde exactamente una pregunta y sugiere exactamente una acción posible. Los módulos que no cumplen esta condición no existen en el diseño final.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Parte 2 — Identidad Visual: El "Cómo se ve"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d8f60"/>
          <w:sz w:val="26"/>
          <w:szCs w:val="26"/>
        </w:rPr>
        <w:t xml:space="preserve">2.1  Paleta de Colores con Significado Funcional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A3B28"/>
          <w:sz w:val="22"/>
          <w:szCs w:val="22"/>
        </w:rPr>
        <w:t xml:space="preserve">La paleta fue diseñada bajo el principio de que el color nunca es decorativo; siempre es semántico. Cada tono señala el tipo de dato antes de que el usuario lea el texto — atributo preattentivo que reduce la carga cognitiva.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1800"/>
        <w:gridCol w:w="3000"/>
        <w:gridCol w:w="3300"/>
      </w:tblGrid>
      <w:tr>
        <w:trPr>
          <w:tblHeader/>
        </w:trPr>
        <w:tc>
          <w:tcPr>
            <w:tcW w:type="dxa" w:w="126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18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0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 semántica</w:t>
            </w:r>
          </w:p>
        </w:tc>
        <w:tc>
          <w:tcPr>
            <w:tcW w:type="dxa" w:w="33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 de uso en dashboard</w:t>
            </w:r>
          </w:p>
        </w:tc>
      </w:tr>
      <w:tr>
        <w:tc>
          <w:tcPr>
            <w:tcW w:type="dxa" w:w="126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5DADE2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/>
        </w:tc>
        <w:tc>
          <w:tcPr>
            <w:tcW w:type="dxa" w:w="1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3B28"/>
                <w:sz w:val="20"/>
                <w:szCs w:val="20"/>
              </w:rPr>
              <w:t xml:space="preserve">#5DADE2</w:t>
            </w:r>
          </w:p>
        </w:tc>
        <w:tc>
          <w:tcPr>
            <w:tcW w:type="dxa" w:w="3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3B28"/>
                <w:sz w:val="20"/>
                <w:szCs w:val="20"/>
              </w:rPr>
              <w:t xml:space="preserve">Consumo hídrico / agua</w:t>
            </w:r>
          </w:p>
        </w:tc>
        <w:tc>
          <w:tcPr>
            <w:tcW w:type="dxa" w:w="33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KPI "Consumo de Agua", línea objetivo en gráficas de series</w:t>
            </w:r>
          </w:p>
        </w:tc>
      </w:tr>
      <w:tr>
        <w:tc>
          <w:tcPr>
            <w:tcW w:type="dxa" w:w="126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7BB395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/>
        </w:tc>
        <w:tc>
          <w:tcPr>
            <w:tcW w:type="dxa" w:w="1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3B28"/>
                <w:sz w:val="20"/>
                <w:szCs w:val="20"/>
              </w:rPr>
              <w:t xml:space="preserve">#7BB395</w:t>
            </w:r>
          </w:p>
        </w:tc>
        <w:tc>
          <w:tcPr>
            <w:tcW w:type="dxa" w:w="3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3B28"/>
                <w:sz w:val="20"/>
                <w:szCs w:val="20"/>
              </w:rPr>
              <w:t xml:space="preserve">Eficiencia / ahorro / positivo</w:t>
            </w:r>
          </w:p>
        </w:tc>
        <w:tc>
          <w:tcPr>
            <w:tcW w:type="dxa" w:w="33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Tendencia de consumo real, KPIs de ahorro, badges de estado "Aceptada"</w:t>
            </w:r>
          </w:p>
        </w:tc>
      </w:tr>
      <w:tr>
        <w:tc>
          <w:tcPr>
            <w:tcW w:type="dxa" w:w="126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8C27D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/>
        </w:tc>
        <w:tc>
          <w:tcPr>
            <w:tcW w:type="dxa" w:w="1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3B28"/>
                <w:sz w:val="20"/>
                <w:szCs w:val="20"/>
              </w:rPr>
              <w:t xml:space="preserve">#E8C27D</w:t>
            </w:r>
          </w:p>
        </w:tc>
        <w:tc>
          <w:tcPr>
            <w:tcW w:type="dxa" w:w="3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3B28"/>
                <w:sz w:val="20"/>
                <w:szCs w:val="20"/>
              </w:rPr>
              <w:t xml:space="preserve">Métricas de demanda / neutro</w:t>
            </w:r>
          </w:p>
        </w:tc>
        <w:tc>
          <w:tcPr>
            <w:tcW w:type="dxa" w:w="33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Barras de ETc (evapotranspiración del cultivo) en gráfica de barras</w:t>
            </w:r>
          </w:p>
        </w:tc>
      </w:tr>
      <w:tr>
        <w:tc>
          <w:tcPr>
            <w:tcW w:type="dxa" w:w="126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63946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/>
        </w:tc>
        <w:tc>
          <w:tcPr>
            <w:tcW w:type="dxa" w:w="1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3B28"/>
                <w:sz w:val="20"/>
                <w:szCs w:val="20"/>
              </w:rPr>
              <w:t xml:space="preserve">#E63946</w:t>
            </w:r>
          </w:p>
        </w:tc>
        <w:tc>
          <w:tcPr>
            <w:tcW w:type="dxa" w:w="3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3B28"/>
                <w:sz w:val="20"/>
                <w:szCs w:val="20"/>
              </w:rPr>
              <w:t xml:space="preserve">Alerta crítica / sobre meta</w:t>
            </w:r>
          </w:p>
        </w:tc>
        <w:tc>
          <w:tcPr>
            <w:tcW w:type="dxa" w:w="33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Valores sobre 6,500 m³/ha en tabla, estado "Ignorada", indicadores urgentes</w:t>
            </w:r>
          </w:p>
        </w:tc>
      </w:tr>
      <w:tr>
        <w:tc>
          <w:tcPr>
            <w:tcW w:type="dxa" w:w="126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8E7F71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/>
        </w:tc>
        <w:tc>
          <w:tcPr>
            <w:tcW w:type="dxa" w:w="1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3B28"/>
                <w:sz w:val="20"/>
                <w:szCs w:val="20"/>
              </w:rPr>
              <w:t xml:space="preserve">#8E7F71</w:t>
            </w:r>
          </w:p>
        </w:tc>
        <w:tc>
          <w:tcPr>
            <w:tcW w:type="dxa" w:w="3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3B28"/>
                <w:sz w:val="20"/>
                <w:szCs w:val="20"/>
              </w:rPr>
              <w:t xml:space="preserve">Datos secundarios / gravedad</w:t>
            </w:r>
          </w:p>
        </w:tc>
        <w:tc>
          <w:tcPr>
            <w:tcW w:type="dxa" w:w="33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Método de riego por gravedad, textos auxiliares, estado "Pendiente"</w:t>
            </w:r>
          </w:p>
        </w:tc>
      </w:tr>
      <w:tr>
        <w:tc>
          <w:tcPr>
            <w:tcW w:type="dxa" w:w="126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BF9F6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/>
        </w:tc>
        <w:tc>
          <w:tcPr>
            <w:tcW w:type="dxa" w:w="1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3B28"/>
                <w:sz w:val="20"/>
                <w:szCs w:val="20"/>
              </w:rPr>
              <w:t xml:space="preserve">#FBF9F6 (fondo)</w:t>
            </w:r>
          </w:p>
        </w:tc>
        <w:tc>
          <w:tcPr>
            <w:tcW w:type="dxa" w:w="3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3B28"/>
                <w:sz w:val="20"/>
                <w:szCs w:val="20"/>
              </w:rPr>
              <w:t xml:space="preserve">Fondo neutro / canvas</w:t>
            </w:r>
          </w:p>
        </w:tc>
        <w:tc>
          <w:tcPr>
            <w:tcW w:type="dxa" w:w="33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Background del dashboard — garantiza contraste sin competir con datos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Regla de oro de la paleta: si cambias el color de un elemento, cambias su significado. Por eso el rojo está reservado exclusivamente para alertas y no se usa como color de énfasis decorativo.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d8f60"/>
          <w:sz w:val="26"/>
          <w:szCs w:val="26"/>
        </w:rPr>
        <w:t xml:space="preserve">2.2  Proporciones y Jerarquía de Elementos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A3B28"/>
          <w:sz w:val="22"/>
          <w:szCs w:val="22"/>
        </w:rPr>
        <w:t xml:space="preserve">La jerarquía visual define qué el usuario ve primero. En MILPÍN, el orden de lectura está diseñado para el flujo de decisión del agricultor: resumen ejecutivo → tendencia → contexto → auditoría.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2260"/>
        <w:gridCol w:w="2700"/>
      </w:tblGrid>
      <w:tr>
        <w:trPr>
          <w:tblHeader/>
        </w:trPr>
        <w:tc>
          <w:tcPr>
            <w:tcW w:type="dxa" w:w="17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Jerarquía</w:t>
            </w:r>
          </w:p>
        </w:tc>
        <w:tc>
          <w:tcPr>
            <w:tcW w:type="dxa" w:w="27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26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Proporción</w:t>
            </w:r>
          </w:p>
        </w:tc>
        <w:tc>
          <w:tcPr>
            <w:tcW w:type="dxa" w:w="27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 narrativa</w:t>
            </w:r>
          </w:p>
        </w:tc>
      </w:tr>
      <w:tr>
        <w:tc>
          <w:tcPr>
            <w:tcW w:type="dxa" w:w="17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76a8"/>
                <w:sz w:val="20"/>
                <w:szCs w:val="20"/>
              </w:rPr>
              <w:t xml:space="preserve">1 — Máxima</w:t>
            </w:r>
          </w:p>
        </w:tc>
        <w:tc>
          <w:tcPr>
            <w:tcW w:type="dxa" w:w="27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B28"/>
                <w:sz w:val="20"/>
                <w:szCs w:val="20"/>
              </w:rPr>
              <w:t xml:space="preserve">KPIs (4 cards superiores)</w:t>
            </w:r>
          </w:p>
        </w:tc>
        <w:tc>
          <w:tcPr>
            <w:tcW w:type="dxa" w:w="22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4 × igual ancho (grid 1fr)</w:t>
            </w:r>
          </w:p>
        </w:tc>
        <w:tc>
          <w:tcPr>
            <w:tcW w:type="dxa" w:w="27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Primera impresión: resumen ejecutivo del ciclo</w:t>
            </w:r>
          </w:p>
        </w:tc>
      </w:tr>
      <w:tr>
        <w:tc>
          <w:tcPr>
            <w:tcW w:type="dxa" w:w="17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76a8"/>
                <w:sz w:val="20"/>
                <w:szCs w:val="20"/>
              </w:rPr>
              <w:t xml:space="preserve">2 — Alta</w:t>
            </w:r>
          </w:p>
        </w:tc>
        <w:tc>
          <w:tcPr>
            <w:tcW w:type="dxa" w:w="27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B28"/>
                <w:sz w:val="20"/>
                <w:szCs w:val="20"/>
              </w:rPr>
              <w:t xml:space="preserve">Gráfica de línea temporal</w:t>
            </w:r>
          </w:p>
        </w:tc>
        <w:tc>
          <w:tcPr>
            <w:tcW w:type="dxa" w:w="22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Ancho completo (100%)</w:t>
            </w:r>
          </w:p>
        </w:tc>
        <w:tc>
          <w:tcPr>
            <w:tcW w:type="dxa" w:w="27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Responde "¿cómo voy en el tiempo?" — módulo más informativo</w:t>
            </w:r>
          </w:p>
        </w:tc>
      </w:tr>
      <w:tr>
        <w:tc>
          <w:tcPr>
            <w:tcW w:type="dxa" w:w="17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76a8"/>
                <w:sz w:val="20"/>
                <w:szCs w:val="20"/>
              </w:rPr>
              <w:t xml:space="preserve">3 — Media</w:t>
            </w:r>
          </w:p>
        </w:tc>
        <w:tc>
          <w:tcPr>
            <w:tcW w:type="dxa" w:w="27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B28"/>
                <w:sz w:val="20"/>
                <w:szCs w:val="20"/>
              </w:rPr>
              <w:t xml:space="preserve">Demanda por cultivo + Métodos de riego</w:t>
            </w:r>
          </w:p>
        </w:tc>
        <w:tc>
          <w:tcPr>
            <w:tcW w:type="dxa" w:w="22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 columnas iguales</w:t>
            </w:r>
          </w:p>
        </w:tc>
        <w:tc>
          <w:tcPr>
            <w:tcW w:type="dxa" w:w="27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Contexto secundario para decisiones de campo</w:t>
            </w:r>
          </w:p>
        </w:tc>
      </w:tr>
      <w:tr>
        <w:tc>
          <w:tcPr>
            <w:tcW w:type="dxa" w:w="17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76a8"/>
                <w:sz w:val="20"/>
                <w:szCs w:val="20"/>
              </w:rPr>
              <w:t xml:space="preserve">4 — Baja</w:t>
            </w:r>
          </w:p>
        </w:tc>
        <w:tc>
          <w:tcPr>
            <w:tcW w:type="dxa" w:w="27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B28"/>
                <w:sz w:val="20"/>
                <w:szCs w:val="20"/>
              </w:rPr>
              <w:t xml:space="preserve">Tabla de eventos de riego</w:t>
            </w:r>
          </w:p>
        </w:tc>
        <w:tc>
          <w:tcPr>
            <w:tcW w:type="dxa" w:w="22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Ancho completo, menor padding</w:t>
            </w:r>
          </w:p>
        </w:tc>
        <w:tc>
          <w:tcPr>
            <w:tcW w:type="dxa" w:w="27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Referencia y auditoría — acceso bajo demanda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El área más grande del viewport es la gráfica de línea temporal (100% del ancho) porque es el módulo que responde la pregunta más crítica: "¿voy en camino de cumplir la meta?". No por estética, sino por jerarquía de información.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d8f60"/>
          <w:sz w:val="26"/>
          <w:szCs w:val="26"/>
        </w:rPr>
        <w:t xml:space="preserve">2.3  Principios de Gestalt Aplicados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A3B28"/>
          <w:sz w:val="22"/>
          <w:szCs w:val="22"/>
        </w:rPr>
        <w:t xml:space="preserve">Los principios de Gestalt son reglas de percepción visual que explican cómo el cerebro humano agrupa elementos individuales en estructuras coherentes. En MILPÍN se aplican seis principios de forma deliberada: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Principio Gestalt</w:t>
            </w:r>
          </w:p>
        </w:tc>
        <w:tc>
          <w:tcPr>
            <w:tcW w:type="dxa" w:w="356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se aplica en MILPÍN</w:t>
            </w:r>
          </w:p>
        </w:tc>
        <w:tc>
          <w:tcPr>
            <w:tcW w:type="dxa" w:w="36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qué sirve al agricultor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8f60"/>
                <w:sz w:val="20"/>
                <w:szCs w:val="20"/>
              </w:rPr>
              <w:t xml:space="preserve">Proximidad</w:t>
            </w:r>
          </w:p>
        </w:tc>
        <w:tc>
          <w:tcPr>
            <w:tcW w:type="dxa" w:w="35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3B28"/>
                <w:sz w:val="20"/>
                <w:szCs w:val="20"/>
              </w:rPr>
              <w:t xml:space="preserve">Los KPIs (consumo, ahorro, costo, adopción) están agrupados en una franja horizontal separada del resto de módulos.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El usuario lee los 4 indicadores como una unidad antes de profundizar en gráficas. Reduce la carga cognitiva al inicio del flujo.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8f60"/>
                <w:sz w:val="20"/>
                <w:szCs w:val="20"/>
              </w:rPr>
              <w:t xml:space="preserve">Similitud</w:t>
            </w:r>
          </w:p>
        </w:tc>
        <w:tc>
          <w:tcPr>
            <w:tcW w:type="dxa" w:w="35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3B28"/>
                <w:sz w:val="20"/>
                <w:szCs w:val="20"/>
              </w:rPr>
              <w:t xml:space="preserve">Todos los porcentajes de agua se codifican en azul (#5DADE2). Todo dato positivo/eficiencia en verde (#7BB395). Toda alerta en rojo (#E63946).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El agricultor identifica el tipo de dato antes de leer el texto. El color actúa como etiqueta preattentiva.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8f60"/>
                <w:sz w:val="20"/>
                <w:szCs w:val="20"/>
              </w:rPr>
              <w:t xml:space="preserve">Región Común (Cierre)</w:t>
            </w:r>
          </w:p>
        </w:tc>
        <w:tc>
          <w:tcPr>
            <w:tcW w:type="dxa" w:w="35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3B28"/>
                <w:sz w:val="20"/>
                <w:szCs w:val="20"/>
              </w:rPr>
              <w:t xml:space="preserve">Cada módulo (KPI, gráfica de línea, gráficas secundarias, tabla) está encerrado en una card con borde, sombra sutil y radio de 16 px.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Separa visualmente el hardware (sensores) del software (predicciones) sin necesidad de texto explicativo extra.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8f60"/>
                <w:sz w:val="20"/>
                <w:szCs w:val="20"/>
              </w:rPr>
              <w:t xml:space="preserve">Continuidad</w:t>
            </w:r>
          </w:p>
        </w:tc>
        <w:tc>
          <w:tcPr>
            <w:tcW w:type="dxa" w:w="35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3B28"/>
                <w:sz w:val="20"/>
                <w:szCs w:val="20"/>
              </w:rPr>
              <w:t xml:space="preserve">La gráfica de línea usa curvas Bézier cúbicas. El flujo de lectura del dashboard sigue el eje Z: KPIs → serie temporal → detalle → tabla.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Facilita la detección de anomalías en la tendencia. El ojo sigue la curva de forma natural sin saltos.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8f60"/>
                <w:sz w:val="20"/>
                <w:szCs w:val="20"/>
              </w:rPr>
              <w:t xml:space="preserve">Figura y Fondo</w:t>
            </w:r>
          </w:p>
        </w:tc>
        <w:tc>
          <w:tcPr>
            <w:tcW w:type="dxa" w:w="35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3B28"/>
                <w:sz w:val="20"/>
                <w:szCs w:val="20"/>
              </w:rPr>
              <w:t xml:space="preserve">El fondo es crema neutro (#FBF9F6). Los valores críticos (sobre meta en tabla, alertas) usan rojo saturado con badge contrastante.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Garantiza que la información urgente sobresalga del contexto estadístico cotidiano sin requerir entrenamiento del usuario.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8f60"/>
                <w:sz w:val="20"/>
                <w:szCs w:val="20"/>
              </w:rPr>
              <w:t xml:space="preserve">Simetría / Equilibrio</w:t>
            </w:r>
          </w:p>
        </w:tc>
        <w:tc>
          <w:tcPr>
            <w:tcW w:type="dxa" w:w="35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3B28"/>
                <w:sz w:val="20"/>
                <w:szCs w:val="20"/>
              </w:rPr>
              <w:t xml:space="preserve">La fila de gráficas secundarias usa 2 columnas de igual ancho (1fr 1fr): demanda por cultivo (barras) vs. métodos de riego (donut).</w:t>
            </w:r>
          </w:p>
        </w:tc>
        <w:tc>
          <w:tcPr>
            <w:tcW w:type="dxa" w:w="3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7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El balance visual evita que el usuario perciba una gráfica como más importante que la otra.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d8f60"/>
          <w:sz w:val="26"/>
          <w:szCs w:val="26"/>
        </w:rPr>
        <w:t xml:space="preserve">2.4  Tipografía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3B28"/>
          <w:sz w:val="22"/>
          <w:szCs w:val="22"/>
        </w:rPr>
        <w:t xml:space="preserve">Fuente principal: DM Sans (sans-serif, peso 300–700) — legibilidad en pantalla, carácter técnico pero accesible.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3B28"/>
          <w:sz w:val="22"/>
          <w:szCs w:val="22"/>
        </w:rPr>
        <w:t xml:space="preserve">Fuente monoespaciada: DM Mono — usada exclusivamente para valores numéricos (m³/ha, fechas, láminas en mm). El monoespaciado facilita la comparación columna a columna en la tabla.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3B28"/>
          <w:sz w:val="22"/>
          <w:szCs w:val="22"/>
        </w:rPr>
        <w:t xml:space="preserve">Tamaño base: 13 px en tabla, 15 px en títulos de módulo, 27 px en valores KPI.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3B28"/>
          <w:sz w:val="22"/>
          <w:szCs w:val="22"/>
        </w:rPr>
        <w:t xml:space="preserve">Nunca se usa la fuente para decoración: negritas solo para jerarquía, itálica solo para notas contextuales.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d8f60"/>
          <w:sz w:val="26"/>
          <w:szCs w:val="26"/>
        </w:rPr>
        <w:t xml:space="preserve">2.5  Espacio Negativo y Densidad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3B28"/>
          <w:sz w:val="22"/>
          <w:szCs w:val="22"/>
        </w:rPr>
        <w:t xml:space="preserve">Padding interno de cards: 24–28 px — evita que los datos se sientan asfixiados.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3B28"/>
          <w:sz w:val="22"/>
          <w:szCs w:val="22"/>
        </w:rPr>
        <w:t xml:space="preserve">Gap entre módulos: 24 px — suficiente para diferenciar secciones sin desperdiciar pantalla.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3B28"/>
          <w:sz w:val="22"/>
          <w:szCs w:val="22"/>
        </w:rPr>
        <w:t xml:space="preserve">Sin bordes decorativos, sin gradientes de fondo, sin iconos de adorno. Cada elemento visual justifica su existencia como portador de información.</w:t>
      </w:r>
    </w:p>
    <w:p>
      <w:pPr>
        <w:spacing w:after="80" w:before="80"/>
      </w:pPr>
      <w:r>
        <w:t xml:space="preserve"/>
      </w:r>
    </w:p>
    <w:p>
      <w:pPr>
        <w:pBdr>
          <w:top w:val="single" w:color="D5D0C8" w:sz="4" w:space="1"/>
        </w:pBdr>
        <w:spacing w:after="0" w:before="48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MILPÍN · DR-041 · Valle del Yaqui, Sonora · Abril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0C8" w:sz="4" w:space="1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DR-041 · Módulo 3 · Valle del Yaqui, Sonora     </w:t>
    </w:r>
    <w:r>
      <w:rPr>
        <w:rFonts w:ascii="Arial" w:cs="Arial" w:eastAsia="Arial" w:hAnsi="Arial"/>
        <w:color w:val="6B7280"/>
        <w:sz w:val="18"/>
        <w:szCs w:val="18"/>
      </w:rPr>
      <w:t xml:space="preserve">Página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B395" w:sz="4" w:space="1"/>
      </w:pBdr>
    </w:pPr>
    <w:r>
      <w:rPr>
        <w:rFonts w:ascii="Arial" w:cs="Arial" w:eastAsia="Arial" w:hAnsi="Arial"/>
        <w:b/>
        <w:bCs/>
        <w:color w:val="3d8f60"/>
        <w:sz w:val="18"/>
        <w:szCs w:val="18"/>
      </w:rPr>
      <w:t xml:space="preserve">MILPÍN Water Intelligence Dashboard</w:t>
    </w:r>
    <w:r>
      <w:rPr>
        <w:rFonts w:ascii="Arial" w:cs="Arial" w:eastAsia="Arial" w:hAnsi="Arial"/>
        <w:color w:val="6B7280"/>
        <w:sz w:val="18"/>
        <w:szCs w:val="18"/>
      </w:rPr>
      <w:t xml:space="preserve">   |   Principios de Gestalt aplicados a la visualización de datos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3B2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d8f6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A3B2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2026-04-30T23:18:25.091Z</dcterms:created>
  <dcterms:modified xsi:type="dcterms:W3CDTF">2026-04-30T23:18:25.092Z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