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60"/>
        <w:jc w:val="center"/>
      </w:pPr>
      <w:r>
        <w:rPr>
          <w:rFonts w:ascii="Arial" w:cs="Arial" w:eastAsia="Arial" w:hAnsi="Arial"/>
          <w:b/>
          <w:bCs/>
          <w:color w:val="0F6CBD"/>
          <w:sz w:val="72"/>
          <w:szCs w:val="72"/>
        </w:rPr>
        <w:t xml:space="preserve">MILPÍN</w:t>
      </w:r>
    </w:p>
    <w:p>
      <w:pPr>
        <w:spacing w:after="60"/>
        <w:jc w:val="center"/>
      </w:pPr>
      <w:r>
        <w:rPr>
          <w:rFonts w:ascii="Arial" w:cs="Arial" w:eastAsia="Arial" w:hAnsi="Arial"/>
          <w:b/>
          <w:bCs/>
          <w:color w:val="0A3D62"/>
          <w:sz w:val="36"/>
          <w:szCs w:val="36"/>
        </w:rPr>
        <w:t xml:space="preserve">Agricultural Intelligence Dashboard</w:t>
      </w:r>
    </w:p>
    <w:p>
      <w:pPr>
        <w:spacing w:after="40"/>
        <w:jc w:val="center"/>
      </w:pPr>
      <w:r>
        <w:rPr>
          <w:rFonts w:ascii="Arial" w:cs="Arial" w:eastAsia="Arial" w:hAnsi="Arial"/>
          <w:color w:val="6B7C93"/>
          <w:sz w:val="22"/>
          <w:szCs w:val="22"/>
        </w:rPr>
        <w:t xml:space="preserve">Rediseño estratégico v3.0 — Documento técnico interno</w:t>
      </w:r>
    </w:p>
    <w:p>
      <w:pPr>
        <w:spacing w:after="40"/>
        <w:jc w:val="center"/>
      </w:pPr>
      <w:r>
        <w:rPr>
          <w:rFonts w:ascii="Arial" w:cs="Arial" w:eastAsia="Arial" w:hAnsi="Arial"/>
          <w:color w:val="6B7C93"/>
          <w:sz w:val="20"/>
          <w:szCs w:val="20"/>
        </w:rPr>
        <w:t xml:space="preserve">Audiencia: equipo de producto, frontend y agronomía MILPÍN</w:t>
      </w:r>
    </w:p>
    <w:p>
      <w:pPr>
        <w:spacing w:after="40"/>
        <w:jc w:val="center"/>
      </w:pPr>
      <w:r>
        <w:rPr>
          <w:rFonts w:ascii="Arial" w:cs="Arial" w:eastAsia="Arial" w:hAnsi="Arial"/>
          <w:i/>
          <w:iCs/>
          <w:color w:val="6B7C93"/>
          <w:sz w:val="20"/>
          <w:szCs w:val="20"/>
        </w:rPr>
        <w:t xml:space="preserve">DR-041 · Módulo 3 · Valle del Yaqui · Mayo 2026</w:t>
      </w:r>
    </w:p>
    <w:p>
      <w:pPr>
        <w:pBdr>
          <w:bottom w:val="single" w:color="0F6CBD" w:sz="4" w:space="1"/>
        </w:pBdr>
        <w:spacing w:after="100"/>
      </w:pPr>
      <w:r>
        <w:t xml:space="preserve"/>
      </w:r>
    </w:p>
    <w:p>
      <w:pPr>
        <w:spacing w:after="200"/>
        <w:jc w:val="center"/>
      </w:pPr>
      <w:r>
        <w:rPr>
          <w:rFonts w:ascii="Arial" w:cs="Arial" w:eastAsia="Arial" w:hAnsi="Arial"/>
          <w:i/>
          <w:iCs/>
          <w:color w:val="6B7C93"/>
          <w:sz w:val="19"/>
          <w:szCs w:val="19"/>
        </w:rPr>
        <w:t xml:space="preserve">Scope: frontend/src/bi_dashboard.js → reemplazado por App.jsx (plataforma de inteligencia agrícola)</w:t>
      </w:r>
    </w:p>
    <w:p>
      <w:r>
        <w:br w:type="page"/>
      </w:r>
    </w:p>
    <w:p>
      <w:pPr>
        <w:pStyle w:val="Heading1"/>
        <w:spacing w:after="180" w:before="360"/>
      </w:pPr>
      <w:r>
        <w:rPr>
          <w:rFonts w:ascii="Arial" w:cs="Arial" w:eastAsia="Arial" w:hAnsi="Arial"/>
          <w:b/>
          <w:bCs/>
          <w:color w:val="0A3D62"/>
          <w:sz w:val="34"/>
          <w:szCs w:val="34"/>
        </w:rPr>
        <w:t xml:space="preserve">0. Resumen ejecutivo</w:t>
      </w:r>
    </w:p>
    <w:p>
      <w:pPr>
        <w:spacing w:after="120"/>
      </w:pPr>
      <w:r>
        <w:rPr>
          <w:rFonts w:ascii="Arial" w:cs="Arial" w:eastAsia="Arial" w:hAnsi="Arial"/>
          <w:sz w:val="22"/>
          <w:szCs w:val="22"/>
        </w:rPr>
        <w:t xml:space="preserve">Este documento sustituye la versión v2 del Diseño UX del Dashboard MILPÍN. El cambio conceptual central es el siguiente: la versión anterior construyó el dashboard como una sala de operaciones (command center de riego). Esta versión lo redefine como una plataforma de inteligencia agrícola e hídrica.</w:t>
      </w:r>
    </w:p>
    <w:p>
      <w:pPr>
        <w:spacing w:after="120"/>
      </w:pPr>
      <w:r>
        <w:rPr>
          <w:rFonts w:ascii="Arial" w:cs="Arial" w:eastAsia="Arial" w:hAnsi="Arial"/>
          <w:sz w:val="22"/>
          <w:szCs w:val="22"/>
        </w:rPr>
        <w:t xml:space="preserve">La razón del cambio no es estética. Es arquitectural: el sistema ya cuenta con un módulo operacional independiente. Duplicar la lógica operacional en el dashboard crea redundancia, aumenta la carga cognitiva y confunde la audiencia objetivo.</w:t>
      </w:r>
    </w:p>
    <w:p>
      <w:r>
        <w:t xml:space="preserve"/>
      </w:r>
    </w:p>
    <w:p>
      <w:pPr>
        <w:pStyle w:val="Heading2"/>
        <w:spacing w:after="120" w:before="280"/>
      </w:pPr>
      <w:r>
        <w:rPr>
          <w:rFonts w:ascii="Arial" w:cs="Arial" w:eastAsia="Arial" w:hAnsi="Arial"/>
          <w:b/>
          <w:bCs/>
          <w:color w:val="0F6CBD"/>
          <w:sz w:val="28"/>
          <w:szCs w:val="28"/>
        </w:rPr>
        <w:t xml:space="preserve">Una decisión que vale todo el documento</w:t>
      </w:r>
    </w:p>
    <w:p>
      <w:pPr>
        <w:spacing w:after="120"/>
      </w:pPr>
      <w:r>
        <w:rPr>
          <w:rFonts w:ascii="Arial" w:cs="Arial" w:eastAsia="Arial" w:hAnsi="Arial"/>
          <w:sz w:val="22"/>
          <w:szCs w:val="22"/>
        </w:rPr>
        <w:t xml:space="preserve">El dashboard deja de ordenar acciones y empieza a explicar comportamiento agrícola. Esta inversión de propósito es el núcleo del rediseño. Todo lo demás — la elección de widgets, la jerarquía cognitiva, la dirección visual — se deriva de esta decisión.</w:t>
      </w:r>
    </w:p>
    <w:p>
      <w:r>
        <w:t xml:space="preserve"/>
      </w:r>
    </w:p>
    <w:p>
      <w:pPr>
        <w:pStyle w:val="Heading2"/>
        <w:spacing w:after="120" w:before="280"/>
      </w:pPr>
      <w:r>
        <w:rPr>
          <w:rFonts w:ascii="Arial" w:cs="Arial" w:eastAsia="Arial" w:hAnsi="Arial"/>
          <w:b/>
          <w:bCs/>
          <w:color w:val="0F6CBD"/>
          <w:sz w:val="28"/>
          <w:szCs w:val="28"/>
        </w:rPr>
        <w:t xml:space="preserve">Resultado: App.jsx</w:t>
      </w:r>
    </w:p>
    <w:p>
      <w:pPr>
        <w:spacing w:after="120"/>
      </w:pPr>
      <w:r>
        <w:rPr>
          <w:rFonts w:ascii="Arial" w:cs="Arial" w:eastAsia="Arial" w:hAnsi="Arial"/>
          <w:sz w:val="22"/>
          <w:szCs w:val="22"/>
        </w:rPr>
        <w:t xml:space="preserve">La implementación de referencia del nuevo dashboard es App.jsx. Este documento especifica la arquitectura, justifica cada decisión de diseño y establece cómo continuar el desarrollo. App.jsx debe mantenerse como la fuente de verdad visual; el documento teórico no debe contradecirla.</w:t>
      </w:r>
    </w:p>
    <w:p>
      <w:r>
        <w:br w:type="page"/>
      </w:r>
    </w:p>
    <w:p>
      <w:pPr>
        <w:pStyle w:val="Heading1"/>
        <w:spacing w:after="180" w:before="360"/>
      </w:pPr>
      <w:r>
        <w:rPr>
          <w:rFonts w:ascii="Arial" w:cs="Arial" w:eastAsia="Arial" w:hAnsi="Arial"/>
          <w:b/>
          <w:bCs/>
          <w:color w:val="0A3D62"/>
          <w:sz w:val="34"/>
          <w:szCs w:val="34"/>
        </w:rPr>
        <w:t xml:space="preserve">1. Cambio conceptual: de command center a Agricultural Intelligence Platform</w:t>
      </w:r>
    </w:p>
    <w:p>
      <w:pPr>
        <w:pStyle w:val="Heading2"/>
        <w:spacing w:after="120" w:before="280"/>
      </w:pPr>
      <w:r>
        <w:rPr>
          <w:rFonts w:ascii="Arial" w:cs="Arial" w:eastAsia="Arial" w:hAnsi="Arial"/>
          <w:b/>
          <w:bCs/>
          <w:color w:val="0F6CBD"/>
          <w:sz w:val="28"/>
          <w:szCs w:val="28"/>
        </w:rPr>
        <w:t xml:space="preserve">1.1 La premisa que se abandona</w:t>
      </w:r>
    </w:p>
    <w:p>
      <w:pPr>
        <w:spacing w:after="120"/>
      </w:pPr>
      <w:r>
        <w:rPr>
          <w:rFonts w:ascii="Arial" w:cs="Arial" w:eastAsia="Arial" w:hAnsi="Arial"/>
          <w:sz w:val="22"/>
          <w:szCs w:val="22"/>
        </w:rPr>
        <w:t xml:space="preserve">El documento v2 estaba construido bajo esta premisa:</w:t>
      </w:r>
    </w:p>
    <w:p>
      <w:pPr>
        <w:spacing w:after="120"/>
        <w:ind w:left="720"/>
      </w:pPr>
      <w:r>
        <w:rPr>
          <w:rFonts w:ascii="Arial" w:cs="Arial" w:eastAsia="Arial" w:hAnsi="Arial"/>
          <w:b/>
          <w:bCs/>
          <w:i/>
          <w:iCs/>
          <w:color w:val="E55C5C"/>
          <w:sz w:val="22"/>
          <w:szCs w:val="22"/>
        </w:rPr>
        <w:t xml:space="preserve">"El dashboard debe convertirse en el centro operacional principal de MILPÍN."</w:t>
      </w:r>
    </w:p>
    <w:p>
      <w:pPr>
        <w:spacing w:after="120"/>
      </w:pPr>
      <w:r>
        <w:rPr>
          <w:rFonts w:ascii="Arial" w:cs="Arial" w:eastAsia="Arial" w:hAnsi="Arial"/>
          <w:sz w:val="22"/>
          <w:szCs w:val="22"/>
        </w:rPr>
        <w:t xml:space="preserve">Esta premisa fue correcta en el contexto de validación del prototipo. Cuando el sistema no tenía módulo operacional, el dashboard era el único lugar donde realizar acciones. Hoy, ese supuesto ya no aplica.</w:t>
      </w:r>
    </w:p>
    <w:p>
      <w:pPr>
        <w:pStyle w:val="Heading2"/>
        <w:spacing w:after="120" w:before="280"/>
      </w:pPr>
      <w:r>
        <w:rPr>
          <w:rFonts w:ascii="Arial" w:cs="Arial" w:eastAsia="Arial" w:hAnsi="Arial"/>
          <w:b/>
          <w:bCs/>
          <w:color w:val="0F6CBD"/>
          <w:sz w:val="28"/>
          <w:szCs w:val="28"/>
        </w:rPr>
        <w:t xml:space="preserve">1.2 La nueva premisa</w:t>
      </w:r>
    </w:p>
    <w:p>
      <w:pPr>
        <w:spacing w:after="120"/>
        <w:ind w:left="720"/>
      </w:pPr>
      <w:r>
        <w:rPr>
          <w:rFonts w:ascii="Arial" w:cs="Arial" w:eastAsia="Arial" w:hAnsi="Arial"/>
          <w:b/>
          <w:bCs/>
          <w:i/>
          <w:iCs/>
          <w:color w:val="2FBF71"/>
          <w:sz w:val="22"/>
          <w:szCs w:val="22"/>
        </w:rPr>
        <w:t xml:space="preserve">"El dashboard es una capa analítica y de inteligencia agronómica. La operación ocurre en otro módulo."</w:t>
      </w:r>
    </w:p>
    <w:p>
      <w:pPr>
        <w:pStyle w:val="Heading2"/>
        <w:spacing w:after="120" w:before="280"/>
      </w:pPr>
      <w:r>
        <w:rPr>
          <w:rFonts w:ascii="Arial" w:cs="Arial" w:eastAsia="Arial" w:hAnsi="Arial"/>
          <w:b/>
          <w:bCs/>
          <w:color w:val="0F6CBD"/>
          <w:sz w:val="28"/>
          <w:szCs w:val="28"/>
        </w:rPr>
        <w:t xml:space="preserve">1.3 Implicaciones concretas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Dimensión</w:t>
            </w:r>
          </w:p>
        </w:tc>
        <w:tc>
          <w:tcPr>
            <w:tcW w:type="dxa" w:w="32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Antes (v2)</w:t>
            </w:r>
          </w:p>
        </w:tc>
        <w:tc>
          <w:tcPr>
            <w:tcW w:type="dxa" w:w="416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Ahora (v3)</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Propósito</w:t>
            </w:r>
          </w:p>
        </w:tc>
        <w:tc>
          <w:tcPr>
            <w:tcW w:type="dxa" w:w="3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Ordenar acciones de riego</w:t>
            </w:r>
          </w:p>
        </w:tc>
        <w:tc>
          <w:tcPr>
            <w:tcW w:type="dxa" w:w="41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Explicar comportamiento agrícola</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Audiencia primaria</w:t>
            </w:r>
          </w:p>
        </w:tc>
        <w:tc>
          <w:tcPr>
            <w:tcW w:type="dxa" w:w="3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Técnico de riego operativo</w:t>
            </w:r>
          </w:p>
        </w:tc>
        <w:tc>
          <w:tcPr>
            <w:tcW w:type="dxa" w:w="41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Agrónomo + equipo de producto</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Pregunta principal</w:t>
            </w:r>
          </w:p>
        </w:tc>
        <w:tc>
          <w:tcPr>
            <w:tcW w:type="dxa" w:w="3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¿Qué parcela riego hoy?</w:t>
            </w:r>
          </w:p>
        </w:tc>
        <w:tc>
          <w:tcPr>
            <w:tcW w:type="dxa" w:w="41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¿Cómo está evolucionando el módulo?</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Acción esperada</w:t>
            </w:r>
          </w:p>
        </w:tc>
        <w:tc>
          <w:tcPr>
            <w:tcW w:type="dxa" w:w="3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Abrir y ejecutar triage</w:t>
            </w:r>
          </w:p>
        </w:tc>
        <w:tc>
          <w:tcPr>
            <w:tcW w:type="dxa" w:w="41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Leer, analizar, interpretar tendencias</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Peligro de mal diseño</w:t>
            </w:r>
          </w:p>
        </w:tc>
        <w:tc>
          <w:tcPr>
            <w:tcW w:type="dxa" w:w="3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No atender una parcela crítica</w:t>
            </w:r>
          </w:p>
        </w:tc>
        <w:tc>
          <w:tcPr>
            <w:tcW w:type="dxa" w:w="41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No ver un patrón de estrés emergente</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Frecuencia de uso</w:t>
            </w:r>
          </w:p>
        </w:tc>
        <w:tc>
          <w:tcPr>
            <w:tcW w:type="dxa" w:w="3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5-8 veces/día (jornada)</w:t>
            </w:r>
          </w:p>
        </w:tc>
        <w:tc>
          <w:tcPr>
            <w:tcW w:type="dxa" w:w="41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1-2 veces/día (revisión)</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Estética correcta</w:t>
            </w:r>
          </w:p>
        </w:tc>
        <w:tc>
          <w:tcPr>
            <w:tcW w:type="dxa" w:w="3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Mission control, alta densidad</w:t>
            </w:r>
          </w:p>
        </w:tc>
        <w:tc>
          <w:tcPr>
            <w:tcW w:type="dxa" w:w="41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AgTech analytics, premium, legible</w:t>
            </w:r>
          </w:p>
        </w:tc>
      </w:tr>
    </w:tbl>
    <w:p>
      <w:r>
        <w:t xml:space="preserve"/>
      </w:r>
    </w:p>
    <w:p>
      <w:pPr>
        <w:pStyle w:val="Heading2"/>
        <w:spacing w:after="120" w:before="280"/>
      </w:pPr>
      <w:r>
        <w:rPr>
          <w:rFonts w:ascii="Arial" w:cs="Arial" w:eastAsia="Arial" w:hAnsi="Arial"/>
          <w:b/>
          <w:bCs/>
          <w:color w:val="0F6CBD"/>
          <w:sz w:val="28"/>
          <w:szCs w:val="28"/>
        </w:rPr>
        <w:t xml:space="preserve">1.4 Lo que el dashboard NO es (línea roja)</w:t>
      </w:r>
    </w:p>
    <w:p>
      <w:pPr>
        <w:spacing w:after="120"/>
      </w:pPr>
      <w:r>
        <w:rPr>
          <w:rFonts w:ascii="Arial" w:cs="Arial" w:eastAsia="Arial" w:hAnsi="Arial"/>
          <w:sz w:val="22"/>
          <w:szCs w:val="22"/>
        </w:rPr>
        <w:t xml:space="preserve">El dashboard en v3 no debe hacer ninguna de las siguientes cosas. Esta es una restricción de diseño, no una preferencia:</w:t>
      </w:r>
    </w:p>
    <w:p>
      <w:pPr>
        <w:pStyle w:val="ListParagraph"/>
        <w:numPr>
          <w:ilvl w:val="0"/>
          <w:numId w:val="2"/>
        </w:numPr>
        <w:spacing w:after="80"/>
      </w:pPr>
      <w:r>
        <w:rPr>
          <w:rFonts w:ascii="Arial" w:cs="Arial" w:eastAsia="Arial" w:hAnsi="Arial"/>
          <w:sz w:val="22"/>
          <w:szCs w:val="22"/>
        </w:rPr>
        <w:t xml:space="preserve">Mostrar alertas operacionales tipo "P-021 requiere riego urgente".</w:t>
      </w:r>
    </w:p>
    <w:p>
      <w:pPr>
        <w:pStyle w:val="ListParagraph"/>
        <w:numPr>
          <w:ilvl w:val="0"/>
          <w:numId w:val="2"/>
        </w:numPr>
        <w:spacing w:after="80"/>
      </w:pPr>
      <w:r>
        <w:rPr>
          <w:rFonts w:ascii="Arial" w:cs="Arial" w:eastAsia="Arial" w:hAnsi="Arial"/>
          <w:sz w:val="22"/>
          <w:szCs w:val="22"/>
        </w:rPr>
        <w:t xml:space="preserve">Presentar una cola de triage priorizada por déficit.</w:t>
      </w:r>
    </w:p>
    <w:p>
      <w:pPr>
        <w:pStyle w:val="ListParagraph"/>
        <w:numPr>
          <w:ilvl w:val="0"/>
          <w:numId w:val="2"/>
        </w:numPr>
        <w:spacing w:after="80"/>
      </w:pPr>
      <w:r>
        <w:rPr>
          <w:rFonts w:ascii="Arial" w:cs="Arial" w:eastAsia="Arial" w:hAnsi="Arial"/>
          <w:sz w:val="22"/>
          <w:szCs w:val="22"/>
        </w:rPr>
        <w:t xml:space="preserve">Ofrecer acciones [Regar] o [Programar] en cualquier widget.</w:t>
      </w:r>
    </w:p>
    <w:p>
      <w:pPr>
        <w:pStyle w:val="ListParagraph"/>
        <w:numPr>
          <w:ilvl w:val="0"/>
          <w:numId w:val="2"/>
        </w:numPr>
        <w:spacing w:after="80"/>
      </w:pPr>
      <w:r>
        <w:rPr>
          <w:rFonts w:ascii="Arial" w:cs="Arial" w:eastAsia="Arial" w:hAnsi="Arial"/>
          <w:sz w:val="22"/>
          <w:szCs w:val="22"/>
        </w:rPr>
        <w:t xml:space="preserve">Duplicar el GIS operacional del módulo Operation.</w:t>
      </w:r>
    </w:p>
    <w:p>
      <w:pPr>
        <w:pStyle w:val="ListParagraph"/>
        <w:numPr>
          <w:ilvl w:val="0"/>
          <w:numId w:val="2"/>
        </w:numPr>
        <w:spacing w:after="80"/>
      </w:pPr>
      <w:r>
        <w:rPr>
          <w:rFonts w:ascii="Arial" w:cs="Arial" w:eastAsia="Arial" w:hAnsi="Arial"/>
          <w:sz w:val="22"/>
          <w:szCs w:val="22"/>
        </w:rPr>
        <w:t xml:space="preserve">Actuar como backlog, mesa de control o sistema de tareas.</w:t>
      </w:r>
    </w:p>
    <w:p>
      <w:r>
        <w:t xml:space="preserve"/>
      </w:r>
    </w:p>
    <w:p>
      <w:pPr>
        <w:spacing w:after="120"/>
      </w:pPr>
      <w:r>
        <w:rPr>
          <w:rFonts w:ascii="Arial" w:cs="Arial" w:eastAsia="Arial" w:hAnsi="Arial"/>
          <w:sz w:val="22"/>
          <w:szCs w:val="22"/>
        </w:rPr>
        <w:t xml:space="preserve">Toda esta funcionalidad existe y está correctamente ubicada en el módulo Operation. El dashboard solo proporciona un enlace hacia él (Tab 3, ver sección 5).</w:t>
      </w:r>
    </w:p>
    <w:p>
      <w:r>
        <w:br w:type="page"/>
      </w:r>
    </w:p>
    <w:p>
      <w:pPr>
        <w:pStyle w:val="Heading1"/>
        <w:spacing w:after="180" w:before="360"/>
      </w:pPr>
      <w:r>
        <w:rPr>
          <w:rFonts w:ascii="Arial" w:cs="Arial" w:eastAsia="Arial" w:hAnsi="Arial"/>
          <w:b/>
          <w:bCs/>
          <w:color w:val="0A3D62"/>
          <w:sz w:val="34"/>
          <w:szCs w:val="34"/>
        </w:rPr>
        <w:t xml:space="preserve">2. Mapa de cambios respecto a v2</w:t>
      </w:r>
    </w:p>
    <w:p>
      <w:pPr>
        <w:pStyle w:val="Heading2"/>
        <w:spacing w:after="120" w:before="280"/>
      </w:pPr>
      <w:r>
        <w:rPr>
          <w:rFonts w:ascii="Arial" w:cs="Arial" w:eastAsia="Arial" w:hAnsi="Arial"/>
          <w:b/>
          <w:bCs/>
          <w:color w:val="0F6CBD"/>
          <w:sz w:val="28"/>
          <w:szCs w:val="28"/>
        </w:rPr>
        <w:t xml:space="preserve">2.1 Secciones eliminadas del documento anterior</w:t>
      </w:r>
    </w:p>
    <w:p>
      <w:pPr>
        <w:spacing w:after="120"/>
      </w:pPr>
      <w:r>
        <w:rPr>
          <w:rFonts w:ascii="Arial" w:cs="Arial" w:eastAsia="Arial" w:hAnsi="Arial"/>
          <w:sz w:val="22"/>
          <w:szCs w:val="22"/>
        </w:rPr>
        <w:t xml:space="preserve">Las siguientes secciones del documento v2 se eliminan completamente porque documentaban un paradigma operacional que ya no aplica:</w:t>
      </w:r>
    </w:p>
    <w:p>
      <w:pPr>
        <w:pStyle w:val="ListParagraph"/>
        <w:numPr>
          <w:ilvl w:val="0"/>
          <w:numId w:val="2"/>
        </w:numPr>
        <w:spacing w:after="80"/>
      </w:pPr>
      <w:r>
        <w:rPr>
          <w:rFonts w:ascii="Arial" w:cs="Arial" w:eastAsia="Arial" w:hAnsi="Arial"/>
          <w:sz w:val="22"/>
          <w:szCs w:val="22"/>
        </w:rPr>
        <w:t xml:space="preserve">Zona A — Banner semáforo operacional (parcelas críticas / moderadas / sin datos)</w:t>
      </w:r>
    </w:p>
    <w:p>
      <w:pPr>
        <w:pStyle w:val="ListParagraph"/>
        <w:numPr>
          <w:ilvl w:val="0"/>
          <w:numId w:val="2"/>
        </w:numPr>
        <w:spacing w:after="80"/>
      </w:pPr>
      <w:r>
        <w:rPr>
          <w:rFonts w:ascii="Arial" w:cs="Arial" w:eastAsia="Arial" w:hAnsi="Arial"/>
          <w:sz w:val="22"/>
          <w:szCs w:val="22"/>
        </w:rPr>
        <w:t xml:space="preserve">Zona B — Cola de triage operacional (tabla de prioridades, CTAs Regar/Programar, backlog)</w:t>
      </w:r>
    </w:p>
    <w:p>
      <w:pPr>
        <w:pStyle w:val="ListParagraph"/>
        <w:numPr>
          <w:ilvl w:val="0"/>
          <w:numId w:val="2"/>
        </w:numPr>
        <w:spacing w:after="80"/>
      </w:pPr>
      <w:r>
        <w:rPr>
          <w:rFonts w:ascii="Arial" w:cs="Arial" w:eastAsia="Arial" w:hAnsi="Arial"/>
          <w:sz w:val="22"/>
          <w:szCs w:val="22"/>
        </w:rPr>
        <w:t xml:space="preserve">Zona C — Mini mapa operacional (choropleth de urgencias, alertas de sensores, clima stale)</w:t>
      </w:r>
    </w:p>
    <w:p>
      <w:pPr>
        <w:pStyle w:val="ListParagraph"/>
        <w:numPr>
          <w:ilvl w:val="0"/>
          <w:numId w:val="2"/>
        </w:numPr>
        <w:spacing w:after="80"/>
      </w:pPr>
      <w:r>
        <w:rPr>
          <w:rFonts w:ascii="Arial" w:cs="Arial" w:eastAsia="Arial" w:hAnsi="Arial"/>
          <w:sz w:val="22"/>
          <w:szCs w:val="22"/>
        </w:rPr>
        <w:t xml:space="preserve">Estados críticos operacionales (modo emergencia, toasts de alerta, flujos de incidentes)</w:t>
      </w:r>
    </w:p>
    <w:p>
      <w:pPr>
        <w:pStyle w:val="ListParagraph"/>
        <w:numPr>
          <w:ilvl w:val="0"/>
          <w:numId w:val="2"/>
        </w:numPr>
        <w:spacing w:after="80"/>
      </w:pPr>
      <w:r>
        <w:rPr>
          <w:rFonts w:ascii="Arial" w:cs="Arial" w:eastAsia="Arial" w:hAnsi="Arial"/>
          <w:sz w:val="22"/>
          <w:szCs w:val="22"/>
        </w:rPr>
        <w:t xml:space="preserve">Flujo mental del técnico de riego (reemplazado por flujo cognitivo de análisis agronómico)</w:t>
      </w:r>
    </w:p>
    <w:p>
      <w:pPr>
        <w:pStyle w:val="ListParagraph"/>
        <w:numPr>
          <w:ilvl w:val="0"/>
          <w:numId w:val="2"/>
        </w:numPr>
        <w:spacing w:after="80"/>
      </w:pPr>
      <w:r>
        <w:rPr>
          <w:rFonts w:ascii="Arial" w:cs="Arial" w:eastAsia="Arial" w:hAnsi="Arial"/>
          <w:sz w:val="22"/>
          <w:szCs w:val="22"/>
        </w:rPr>
        <w:t xml:space="preserve">Endpoint /api/operacion/triage (pertenece al módulo Operation, no al dashboard analítico)</w:t>
      </w:r>
    </w:p>
    <w:p>
      <w:r>
        <w:t xml:space="preserve"/>
      </w:r>
    </w:p>
    <w:p>
      <w:pPr>
        <w:pStyle w:val="Heading2"/>
        <w:spacing w:after="120" w:before="280"/>
      </w:pPr>
      <w:r>
        <w:rPr>
          <w:rFonts w:ascii="Arial" w:cs="Arial" w:eastAsia="Arial" w:hAnsi="Arial"/>
          <w:b/>
          <w:bCs/>
          <w:color w:val="0F6CBD"/>
          <w:sz w:val="28"/>
          <w:szCs w:val="28"/>
        </w:rPr>
        <w:t xml:space="preserve">2.2 Secciones modificadas</w:t>
      </w:r>
    </w:p>
    <w:p>
      <w:pPr>
        <w:pStyle w:val="ListParagraph"/>
        <w:numPr>
          <w:ilvl w:val="0"/>
          <w:numId w:val="2"/>
        </w:numPr>
        <w:spacing w:after="80"/>
      </w:pPr>
      <w:r>
        <w:rPr>
          <w:rFonts w:ascii="Arial" w:cs="Arial" w:eastAsia="Arial" w:hAnsi="Arial"/>
          <w:sz w:val="22"/>
          <w:szCs w:val="22"/>
        </w:rPr>
        <w:t xml:space="preserve">Jerarquía cognitiva: de alerta→acción a estado→tendencia→eficiencia→forecast</w:t>
      </w:r>
    </w:p>
    <w:p>
      <w:pPr>
        <w:pStyle w:val="ListParagraph"/>
        <w:numPr>
          <w:ilvl w:val="0"/>
          <w:numId w:val="2"/>
        </w:numPr>
        <w:spacing w:after="80"/>
      </w:pPr>
      <w:r>
        <w:rPr>
          <w:rFonts w:ascii="Arial" w:cs="Arial" w:eastAsia="Arial" w:hAnsi="Arial"/>
          <w:sz w:val="22"/>
          <w:szCs w:val="22"/>
        </w:rPr>
        <w:t xml:space="preserve">Definición del dashboard: de "sala de operaciones" a "plataforma de inteligencia agrícola"</w:t>
      </w:r>
    </w:p>
    <w:p>
      <w:pPr>
        <w:pStyle w:val="ListParagraph"/>
        <w:numPr>
          <w:ilvl w:val="0"/>
          <w:numId w:val="2"/>
        </w:numPr>
        <w:spacing w:after="80"/>
      </w:pPr>
      <w:r>
        <w:rPr>
          <w:rFonts w:ascii="Arial" w:cs="Arial" w:eastAsia="Arial" w:hAnsi="Arial"/>
          <w:sz w:val="22"/>
          <w:szCs w:val="22"/>
        </w:rPr>
        <w:t xml:space="preserve">Estrategia responsive: enfoque en el agrónomo con tablet/escritorio, no en el técnico de campo</w:t>
      </w:r>
    </w:p>
    <w:p>
      <w:pPr>
        <w:pStyle w:val="ListParagraph"/>
        <w:numPr>
          <w:ilvl w:val="0"/>
          <w:numId w:val="2"/>
        </w:numPr>
        <w:spacing w:after="80"/>
      </w:pPr>
      <w:r>
        <w:rPr>
          <w:rFonts w:ascii="Arial" w:cs="Arial" w:eastAsia="Arial" w:hAnsi="Arial"/>
          <w:sz w:val="22"/>
          <w:szCs w:val="22"/>
        </w:rPr>
        <w:t xml:space="preserve">Métricas de éxito: de tiempo-a-acción a calidad-de-análisis y adopción semanal</w:t>
      </w:r>
    </w:p>
    <w:p>
      <w:r>
        <w:t xml:space="preserve"/>
      </w:r>
    </w:p>
    <w:p>
      <w:pPr>
        <w:pStyle w:val="Heading2"/>
        <w:spacing w:after="120" w:before="280"/>
      </w:pPr>
      <w:r>
        <w:rPr>
          <w:rFonts w:ascii="Arial" w:cs="Arial" w:eastAsia="Arial" w:hAnsi="Arial"/>
          <w:b/>
          <w:bCs/>
          <w:color w:val="0F6CBD"/>
          <w:sz w:val="28"/>
          <w:szCs w:val="28"/>
        </w:rPr>
        <w:t xml:space="preserve">2.3 Widgets del dashboard anterior: decisión por ítem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Widget anterior</w:t>
            </w:r>
          </w:p>
        </w:tc>
        <w:tc>
          <w:tcPr>
            <w:tcW w:type="dxa" w:w="18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Decisión</w:t>
            </w:r>
          </w:p>
        </w:tc>
        <w:tc>
          <w:tcPr>
            <w:tcW w:type="dxa" w:w="28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Destino en v3</w:t>
            </w:r>
          </w:p>
        </w:tc>
        <w:tc>
          <w:tcPr>
            <w:tcW w:type="dxa" w:w="256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Razón</w:t>
            </w:r>
          </w:p>
        </w:tc>
      </w:tr>
      <w:tr>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KPI Grid (6 cards)</w:t>
            </w:r>
          </w:p>
        </w:tc>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CONSERVAR — REFINAR</w:t>
            </w:r>
          </w:p>
        </w:tc>
        <w:tc>
          <w:tcPr>
            <w:tcW w:type="dxa" w:w="2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Tab Overview, sección Resumen agronómico</w:t>
            </w:r>
          </w:p>
        </w:tc>
        <w:tc>
          <w:tcPr>
            <w:tcW w:type="dxa" w:w="25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Las 6 métricas son ahora agronómicas: consumo, ahorro, meta, ETc, NDVI, riesgo hídrico</w:t>
            </w:r>
          </w:p>
        </w:tc>
      </w:tr>
      <w:tr>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Line consumo acumulado</w:t>
            </w:r>
          </w:p>
        </w:tc>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CONSERVAR</w:t>
            </w:r>
          </w:p>
        </w:tc>
        <w:tc>
          <w:tcPr>
            <w:tcW w:type="dxa" w:w="2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Tab Overview, Inteligencia de parcela</w:t>
            </w:r>
          </w:p>
        </w:tc>
        <w:tc>
          <w:tcPr>
            <w:tcW w:type="dxa" w:w="25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Muestra tendencia del ciclo vs baseline y meta FAO-56</w:t>
            </w:r>
          </w:p>
        </w:tc>
      </w:tr>
      <w:tr>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Bar ETc por cultivo</w:t>
            </w:r>
          </w:p>
        </w:tc>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REFACTORIZAR</w:t>
            </w:r>
          </w:p>
        </w:tc>
        <w:tc>
          <w:tcPr>
            <w:tcW w:type="dxa" w:w="2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Tab Overview, Tabla FAO-56 enriquecida</w:t>
            </w:r>
          </w:p>
        </w:tc>
        <w:tc>
          <w:tcPr>
            <w:tcW w:type="dxa" w:w="25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Se integra en la tabla de estado FAO-56 como columna ETc</w:t>
            </w:r>
          </w:p>
        </w:tc>
      </w:tr>
      <w:tr>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Donut método de riego</w:t>
            </w:r>
          </w:p>
        </w:tc>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ELIMINAR</w:t>
            </w:r>
          </w:p>
        </w:tc>
        <w:tc>
          <w:tcPr>
            <w:tcW w:type="dxa" w:w="2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w:t>
            </w:r>
          </w:p>
        </w:tc>
        <w:tc>
          <w:tcPr>
            <w:tcW w:type="dxa" w:w="25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Dato categórico fijo, no cambia ni informa tendencia</w:t>
            </w:r>
          </w:p>
        </w:tc>
      </w:tr>
      <w:tr>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Cost savings barras</w:t>
            </w:r>
          </w:p>
        </w:tc>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CONSERVAR</w:t>
            </w:r>
          </w:p>
        </w:tc>
        <w:tc>
          <w:tcPr>
            <w:tcW w:type="dxa" w:w="2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Tab Overview, Ahorro hídrico por cultivo</w:t>
            </w:r>
          </w:p>
        </w:tc>
        <w:tc>
          <w:tcPr>
            <w:tcW w:type="dxa" w:w="25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Información de eficiencia, no de operación</w:t>
            </w:r>
          </w:p>
        </w:tc>
      </w:tr>
      <w:tr>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Tabla FAO-56 por cultivo</w:t>
            </w:r>
          </w:p>
        </w:tc>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CONSERVAR — AMPLIAR</w:t>
            </w:r>
          </w:p>
        </w:tc>
        <w:tc>
          <w:tcPr>
            <w:tcW w:type="dxa" w:w="2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Tab Overview, Estado FAO-56</w:t>
            </w:r>
          </w:p>
        </w:tc>
        <w:tc>
          <w:tcPr>
            <w:tcW w:type="dxa" w:w="25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Información analítica central del dashboard</w:t>
            </w:r>
          </w:p>
        </w:tc>
      </w:tr>
      <w:tr>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Tabla histórica eventos</w:t>
            </w:r>
          </w:p>
        </w:tc>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ELIMINAR</w:t>
            </w:r>
          </w:p>
        </w:tc>
        <w:tc>
          <w:tcPr>
            <w:tcW w:type="dxa" w:w="2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w:t>
            </w:r>
          </w:p>
        </w:tc>
        <w:tc>
          <w:tcPr>
            <w:tcW w:type="dxa" w:w="25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Es auditoría operativa, no inteligencia agronómica</w:t>
            </w:r>
          </w:p>
        </w:tc>
      </w:tr>
      <w:tr>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Card anomalías Isolation Forest</w:t>
            </w:r>
          </w:p>
        </w:tc>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MOVER</w:t>
            </w:r>
          </w:p>
        </w:tc>
        <w:tc>
          <w:tcPr>
            <w:tcW w:type="dxa" w:w="2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Tab Metrics, métricas predictivas</w:t>
            </w:r>
          </w:p>
        </w:tc>
        <w:tc>
          <w:tcPr>
            <w:tcW w:type="dxa" w:w="25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Con contexto de IA/ML es apropiado en Metrics</w:t>
            </w:r>
          </w:p>
        </w:tc>
      </w:tr>
    </w:tbl>
    <w:p>
      <w:r>
        <w:br w:type="page"/>
      </w:r>
    </w:p>
    <w:p>
      <w:pPr>
        <w:pStyle w:val="Heading1"/>
        <w:spacing w:after="180" w:before="360"/>
      </w:pPr>
      <w:r>
        <w:rPr>
          <w:rFonts w:ascii="Arial" w:cs="Arial" w:eastAsia="Arial" w:hAnsi="Arial"/>
          <w:b/>
          <w:bCs/>
          <w:color w:val="0A3D62"/>
          <w:sz w:val="34"/>
          <w:szCs w:val="34"/>
        </w:rPr>
        <w:t xml:space="preserve">3. Nueva arquitectura: 3 tabs</w:t>
      </w:r>
    </w:p>
    <w:p>
      <w:pPr>
        <w:spacing w:after="120"/>
      </w:pPr>
      <w:r>
        <w:rPr>
          <w:rFonts w:ascii="Arial" w:cs="Arial" w:eastAsia="Arial" w:hAnsi="Arial"/>
          <w:sz w:val="22"/>
          <w:szCs w:val="22"/>
        </w:rPr>
        <w:t xml:space="preserve">El dashboard se organiza en tres tabs. Solo los dos primeros pertenecen al dashboard analítico. El tercero es un enlace externo.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80"/>
        <w:gridCol w:w="2180"/>
      </w:tblGrid>
      <w:tr>
        <w:tc>
          <w:tcPr>
            <w:tcW w:type="dxa" w:w="20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Tab</w:t>
            </w:r>
          </w:p>
        </w:tc>
        <w:tc>
          <w:tcPr>
            <w:tcW w:type="dxa" w:w="30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Nombre</w:t>
            </w:r>
          </w:p>
        </w:tc>
        <w:tc>
          <w:tcPr>
            <w:tcW w:type="dxa" w:w="218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Audiencia</w:t>
            </w:r>
          </w:p>
        </w:tc>
        <w:tc>
          <w:tcPr>
            <w:tcW w:type="dxa" w:w="218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Propósito</w:t>
            </w:r>
          </w:p>
        </w:tc>
      </w:tr>
      <w:tr>
        <w:tc>
          <w:tcPr>
            <w:tcW w:type="dxa" w:w="2000"/>
            <w:tcBorders>
              <w:top w:val="single" w:color="D8DFE9" w:sz="1"/>
              <w:left w:val="single" w:color="D8DFE9" w:sz="1"/>
              <w:bottom w:val="single" w:color="D8DFE9" w:sz="1"/>
              <w:right w:val="single" w:color="D8DFE9" w:sz="1"/>
            </w:tcBorders>
            <w:shd w:fill="EEF7FF" w:val="clear"/>
            <w:tcMar>
              <w:top w:type="dxa" w:w="80"/>
              <w:left w:type="dxa" w:w="120"/>
              <w:bottom w:type="dxa" w:w="80"/>
              <w:right w:type="dxa" w:w="120"/>
            </w:tcMar>
            <w:vAlign w:val="center"/>
          </w:tcPr>
          <w:p>
            <w:pPr>
              <w:jc w:val="left"/>
            </w:pPr>
            <w:r>
              <w:rPr>
                <w:rFonts w:ascii="Arial" w:cs="Arial" w:eastAsia="Arial" w:hAnsi="Arial"/>
                <w:b/>
                <w:bCs/>
                <w:color w:val="0F6CBD"/>
                <w:sz w:val="19"/>
                <w:szCs w:val="19"/>
              </w:rPr>
              <w:t xml:space="preserve">Tab 1</w:t>
            </w:r>
          </w:p>
        </w:tc>
        <w:tc>
          <w:tcPr>
            <w:tcW w:type="dxa" w:w="3000"/>
            <w:tcBorders>
              <w:top w:val="single" w:color="D8DFE9" w:sz="1"/>
              <w:left w:val="single" w:color="D8DFE9" w:sz="1"/>
              <w:bottom w:val="single" w:color="D8DFE9" w:sz="1"/>
              <w:right w:val="single" w:color="D8DFE9" w:sz="1"/>
            </w:tcBorders>
            <w:shd w:fill="EEF7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Overview</w:t>
            </w:r>
          </w:p>
        </w:tc>
        <w:tc>
          <w:tcPr>
            <w:tcW w:type="dxa" w:w="2180"/>
            <w:tcBorders>
              <w:top w:val="single" w:color="D8DFE9" w:sz="1"/>
              <w:left w:val="single" w:color="D8DFE9" w:sz="1"/>
              <w:bottom w:val="single" w:color="D8DFE9" w:sz="1"/>
              <w:right w:val="single" w:color="D8DFE9" w:sz="1"/>
            </w:tcBorders>
            <w:shd w:fill="EEF7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Agrónomo, equipo de producto</w:t>
            </w:r>
          </w:p>
        </w:tc>
        <w:tc>
          <w:tcPr>
            <w:tcW w:type="dxa" w:w="2180"/>
            <w:tcBorders>
              <w:top w:val="single" w:color="D8DFE9" w:sz="1"/>
              <w:left w:val="single" w:color="D8DFE9" w:sz="1"/>
              <w:bottom w:val="single" w:color="D8DFE9" w:sz="1"/>
              <w:right w:val="single" w:color="D8DFE9" w:sz="1"/>
            </w:tcBorders>
            <w:shd w:fill="EEF7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Estado general del módulo: consumo, FAO-56, NDVI, ciclo</w:t>
            </w:r>
          </w:p>
        </w:tc>
      </w:tr>
      <w:tr>
        <w:tc>
          <w:tcPr>
            <w:tcW w:type="dxa" w:w="2000"/>
            <w:tcBorders>
              <w:top w:val="single" w:color="D8DFE9" w:sz="1"/>
              <w:left w:val="single" w:color="D8DFE9" w:sz="1"/>
              <w:bottom w:val="single" w:color="D8DFE9" w:sz="1"/>
              <w:right w:val="single" w:color="D8DFE9" w:sz="1"/>
            </w:tcBorders>
            <w:shd w:fill="EEF7FF" w:val="clear"/>
            <w:tcMar>
              <w:top w:type="dxa" w:w="80"/>
              <w:left w:type="dxa" w:w="120"/>
              <w:bottom w:type="dxa" w:w="80"/>
              <w:right w:type="dxa" w:w="120"/>
            </w:tcMar>
            <w:vAlign w:val="center"/>
          </w:tcPr>
          <w:p>
            <w:pPr>
              <w:jc w:val="left"/>
            </w:pPr>
            <w:r>
              <w:rPr>
                <w:rFonts w:ascii="Arial" w:cs="Arial" w:eastAsia="Arial" w:hAnsi="Arial"/>
                <w:b/>
                <w:bCs/>
                <w:color w:val="0F6CBD"/>
                <w:sz w:val="19"/>
                <w:szCs w:val="19"/>
              </w:rPr>
              <w:t xml:space="preserve">Tab 2</w:t>
            </w:r>
          </w:p>
        </w:tc>
        <w:tc>
          <w:tcPr>
            <w:tcW w:type="dxa" w:w="3000"/>
            <w:tcBorders>
              <w:top w:val="single" w:color="D8DFE9" w:sz="1"/>
              <w:left w:val="single" w:color="D8DFE9" w:sz="1"/>
              <w:bottom w:val="single" w:color="D8DFE9" w:sz="1"/>
              <w:right w:val="single" w:color="D8DFE9" w:sz="1"/>
            </w:tcBorders>
            <w:shd w:fill="EEF7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Metrics</w:t>
            </w:r>
          </w:p>
        </w:tc>
        <w:tc>
          <w:tcPr>
            <w:tcW w:type="dxa" w:w="2180"/>
            <w:tcBorders>
              <w:top w:val="single" w:color="D8DFE9" w:sz="1"/>
              <w:left w:val="single" w:color="D8DFE9" w:sz="1"/>
              <w:bottom w:val="single" w:color="D8DFE9" w:sz="1"/>
              <w:right w:val="single" w:color="D8DFE9" w:sz="1"/>
            </w:tcBorders>
            <w:shd w:fill="EEF7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Agrónomo, data scientist</w:t>
            </w:r>
          </w:p>
        </w:tc>
        <w:tc>
          <w:tcPr>
            <w:tcW w:type="dxa" w:w="2180"/>
            <w:tcBorders>
              <w:top w:val="single" w:color="D8DFE9" w:sz="1"/>
              <w:left w:val="single" w:color="D8DFE9" w:sz="1"/>
              <w:bottom w:val="single" w:color="D8DFE9" w:sz="1"/>
              <w:right w:val="single" w:color="D8DFE9" w:sz="1"/>
            </w:tcBorders>
            <w:shd w:fill="EEF7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Inteligencia predictiva: riesgo, forecast, GIS, tendencias</w:t>
            </w:r>
          </w:p>
        </w:tc>
      </w:tr>
      <w:tr>
        <w:tc>
          <w:tcPr>
            <w:tcW w:type="dxa" w:w="2000"/>
            <w:tcBorders>
              <w:top w:val="single" w:color="D8DFE9" w:sz="1"/>
              <w:left w:val="single" w:color="D8DFE9" w:sz="1"/>
              <w:bottom w:val="single" w:color="D8DFE9" w:sz="1"/>
              <w:right w:val="single" w:color="D8DFE9" w:sz="1"/>
            </w:tcBorders>
            <w:shd w:fill="FFF8EE" w:val="clear"/>
            <w:tcMar>
              <w:top w:type="dxa" w:w="80"/>
              <w:left w:type="dxa" w:w="120"/>
              <w:bottom w:type="dxa" w:w="80"/>
              <w:right w:type="dxa" w:w="120"/>
            </w:tcMar>
            <w:vAlign w:val="center"/>
          </w:tcPr>
          <w:p>
            <w:pPr>
              <w:jc w:val="left"/>
            </w:pPr>
            <w:r>
              <w:rPr>
                <w:rFonts w:ascii="Arial" w:cs="Arial" w:eastAsia="Arial" w:hAnsi="Arial"/>
                <w:b/>
                <w:bCs/>
                <w:color w:val="F5A623"/>
                <w:sz w:val="19"/>
                <w:szCs w:val="19"/>
              </w:rPr>
              <w:t xml:space="preserve">Tab 3</w:t>
            </w:r>
          </w:p>
        </w:tc>
        <w:tc>
          <w:tcPr>
            <w:tcW w:type="dxa" w:w="3000"/>
            <w:tcBorders>
              <w:top w:val="single" w:color="D8DFE9" w:sz="1"/>
              <w:left w:val="single" w:color="D8DFE9" w:sz="1"/>
              <w:bottom w:val="single" w:color="D8DFE9" w:sz="1"/>
              <w:right w:val="single" w:color="D8DFE9" w:sz="1"/>
            </w:tcBorders>
            <w:shd w:fill="FFF8EE"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Operation → (enlace externo)</w:t>
            </w:r>
          </w:p>
        </w:tc>
        <w:tc>
          <w:tcPr>
            <w:tcW w:type="dxa" w:w="2180"/>
            <w:tcBorders>
              <w:top w:val="single" w:color="D8DFE9" w:sz="1"/>
              <w:left w:val="single" w:color="D8DFE9" w:sz="1"/>
              <w:bottom w:val="single" w:color="D8DFE9" w:sz="1"/>
              <w:right w:val="single" w:color="D8DFE9" w:sz="1"/>
            </w:tcBorders>
            <w:shd w:fill="FFF8EE"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Técnico de riego</w:t>
            </w:r>
          </w:p>
        </w:tc>
        <w:tc>
          <w:tcPr>
            <w:tcW w:type="dxa" w:w="2180"/>
            <w:tcBorders>
              <w:top w:val="single" w:color="D8DFE9" w:sz="1"/>
              <w:left w:val="single" w:color="D8DFE9" w:sz="1"/>
              <w:bottom w:val="single" w:color="D8DFE9" w:sz="1"/>
              <w:right w:val="single" w:color="D8DFE9" w:sz="1"/>
            </w:tcBorders>
            <w:shd w:fill="FFF8EE"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Acción operativa (módulo independiente, fuera del dashboard)</w:t>
            </w:r>
          </w:p>
        </w:tc>
      </w:tr>
    </w:tbl>
    <w:p>
      <w:r>
        <w:t xml:space="preserve"/>
      </w:r>
    </w:p>
    <w:p>
      <w:pPr>
        <w:spacing w:after="80"/>
      </w:pPr>
      <w:r>
        <w:rPr>
          <w:rFonts w:ascii="Arial" w:cs="Arial" w:eastAsia="Arial" w:hAnsi="Arial"/>
          <w:i/>
          <w:iCs/>
          <w:color w:val="6B7C93"/>
          <w:sz w:val="20"/>
          <w:szCs w:val="20"/>
        </w:rPr>
        <w:t xml:space="preserve">Implementado en App.jsx: TabNav renderiza los 3 tabs. Operation tiene la propiedad external:true, lo que deshabilita su click y muestra un ícono de enlace externo. Esto comunica claramente que Operation no es parte del dashboard analítico.</w:t>
      </w:r>
    </w:p>
    <w:p>
      <w:r>
        <w:br w:type="page"/>
      </w:r>
    </w:p>
    <w:p>
      <w:pPr>
        <w:pStyle w:val="Heading1"/>
        <w:spacing w:after="180" w:before="360"/>
      </w:pPr>
      <w:r>
        <w:rPr>
          <w:rFonts w:ascii="Arial" w:cs="Arial" w:eastAsia="Arial" w:hAnsi="Arial"/>
          <w:b/>
          <w:bCs/>
          <w:color w:val="0A3D62"/>
          <w:sz w:val="34"/>
          <w:szCs w:val="34"/>
        </w:rPr>
        <w:t xml:space="preserve">4. Tab 1 — Overview</w:t>
      </w:r>
    </w:p>
    <w:p>
      <w:pPr>
        <w:spacing w:after="120"/>
      </w:pPr>
      <w:r>
        <w:rPr>
          <w:rFonts w:ascii="Arial" w:cs="Arial" w:eastAsia="Arial" w:hAnsi="Arial"/>
          <w:sz w:val="22"/>
          <w:szCs w:val="22"/>
        </w:rPr>
        <w:t xml:space="preserve">Objetivo: mostrar el estado general del módulo agrícola. Responde las preguntas: ¿Cómo va el consumo? ¿Cómo está el déficit? ¿Cómo evolucionan los cultivos? ¿Cómo va el cumplimiento del ciclo?</w:t>
      </w:r>
    </w:p>
    <w:p>
      <w:pPr>
        <w:spacing w:after="120"/>
      </w:pPr>
      <w:r>
        <w:rPr>
          <w:rFonts w:ascii="Arial" w:cs="Arial" w:eastAsia="Arial" w:hAnsi="Arial"/>
          <w:sz w:val="22"/>
          <w:szCs w:val="22"/>
        </w:rPr>
        <w:t xml:space="preserve">La vista debe sentirse: táctica, limpia, analítica, agrícola, escaneable y profesional. Nunca operacional.</w:t>
      </w:r>
    </w:p>
    <w:p>
      <w:r>
        <w:t xml:space="preserve"/>
      </w:r>
    </w:p>
    <w:p>
      <w:pPr>
        <w:pStyle w:val="Heading2"/>
        <w:spacing w:after="120" w:before="280"/>
      </w:pPr>
      <w:r>
        <w:rPr>
          <w:rFonts w:ascii="Arial" w:cs="Arial" w:eastAsia="Arial" w:hAnsi="Arial"/>
          <w:b/>
          <w:bCs/>
          <w:color w:val="0F6CBD"/>
          <w:sz w:val="28"/>
          <w:szCs w:val="28"/>
        </w:rPr>
        <w:t xml:space="preserve">4.1 Sección: Resumen agronómico (KPI Grid)</w:t>
      </w:r>
    </w:p>
    <w:p>
      <w:pPr>
        <w:spacing w:after="120"/>
      </w:pPr>
      <w:r>
        <w:rPr>
          <w:rFonts w:ascii="Arial" w:cs="Arial" w:eastAsia="Arial" w:hAnsi="Arial"/>
          <w:sz w:val="22"/>
          <w:szCs w:val="22"/>
        </w:rPr>
        <w:t xml:space="preserve">6 tarjetas de KPI que resumen el estado del módulo. Cada tarjeta incluye: valor actual, unidad, sparkline de 8 semanas, tendencia porcentual vs ciclo anterior, ícono temático.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2000"/>
        <w:gridCol w:w="2760"/>
      </w:tblGrid>
      <w:tr>
        <w:tc>
          <w:tcPr>
            <w:tcW w:type="dxa" w:w="24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KPI</w:t>
            </w:r>
          </w:p>
        </w:tc>
        <w:tc>
          <w:tcPr>
            <w:tcW w:type="dxa" w:w="12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Valor ref.</w:t>
            </w:r>
          </w:p>
        </w:tc>
        <w:tc>
          <w:tcPr>
            <w:tcW w:type="dxa" w:w="10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Unidad</w:t>
            </w:r>
          </w:p>
        </w:tc>
        <w:tc>
          <w:tcPr>
            <w:tcW w:type="dxa" w:w="20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Tendencia</w:t>
            </w:r>
          </w:p>
        </w:tc>
        <w:tc>
          <w:tcPr>
            <w:tcW w:type="dxa" w:w="276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Propósito</w:t>
            </w:r>
          </w:p>
        </w:tc>
      </w:tr>
      <w:tr>
        <w:tc>
          <w:tcPr>
            <w:tcW w:type="dxa" w:w="24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Consumo promedio</w:t>
            </w:r>
          </w:p>
        </w:tc>
        <w:tc>
          <w:tcPr>
            <w:tcW w:type="dxa" w:w="1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6,240</w:t>
            </w:r>
          </w:p>
        </w:tc>
        <w:tc>
          <w:tcPr>
            <w:tcW w:type="dxa" w:w="1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m³/ha</w:t>
            </w:r>
          </w:p>
        </w:tc>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−22% vs baseline</w:t>
            </w:r>
          </w:p>
        </w:tc>
        <w:tc>
          <w:tcPr>
            <w:tcW w:type="dxa" w:w="27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Tracking principal del KPI central del proyecto</w:t>
            </w:r>
          </w:p>
        </w:tc>
      </w:tr>
      <w:tr>
        <w:tc>
          <w:tcPr>
            <w:tcW w:type="dxa" w:w="24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Ahorro acumulado</w:t>
            </w:r>
          </w:p>
        </w:tc>
        <w:tc>
          <w:tcPr>
            <w:tcW w:type="dxa" w:w="1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1,760</w:t>
            </w:r>
          </w:p>
        </w:tc>
        <w:tc>
          <w:tcPr>
            <w:tcW w:type="dxa" w:w="1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m³/ha</w:t>
            </w:r>
          </w:p>
        </w:tc>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+22% vs semana ant.</w:t>
            </w:r>
          </w:p>
        </w:tc>
        <w:tc>
          <w:tcPr>
            <w:tcW w:type="dxa" w:w="27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Magnitud del ahorro hídrico en el ciclo actual</w:t>
            </w:r>
          </w:p>
        </w:tc>
      </w:tr>
      <w:tr>
        <w:tc>
          <w:tcPr>
            <w:tcW w:type="dxa" w:w="24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Cumplimiento meta</w:t>
            </w:r>
          </w:p>
        </w:tc>
        <w:tc>
          <w:tcPr>
            <w:tcW w:type="dxa" w:w="1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78</w:t>
            </w:r>
          </w:p>
        </w:tc>
        <w:tc>
          <w:tcPr>
            <w:tcW w:type="dxa" w:w="1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w:t>
            </w:r>
          </w:p>
        </w:tc>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+8% vs ciclo ant.</w:t>
            </w:r>
          </w:p>
        </w:tc>
        <w:tc>
          <w:tcPr>
            <w:tcW w:type="dxa" w:w="27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Porcentaje de parcelas cumpliendo el objetivo de 6,000 m³/ha</w:t>
            </w:r>
          </w:p>
        </w:tc>
      </w:tr>
      <w:tr>
        <w:tc>
          <w:tcPr>
            <w:tcW w:type="dxa" w:w="24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ETc módulo</w:t>
            </w:r>
          </w:p>
        </w:tc>
        <w:tc>
          <w:tcPr>
            <w:tcW w:type="dxa" w:w="1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5.4</w:t>
            </w:r>
          </w:p>
        </w:tc>
        <w:tc>
          <w:tcPr>
            <w:tcW w:type="dxa" w:w="1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mm/d</w:t>
            </w:r>
          </w:p>
        </w:tc>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+3% vs sem. ant.</w:t>
            </w:r>
          </w:p>
        </w:tc>
        <w:tc>
          <w:tcPr>
            <w:tcW w:type="dxa" w:w="27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Demanda evapotranspirativa FAO-56 agregada del módulo</w:t>
            </w:r>
          </w:p>
        </w:tc>
      </w:tr>
      <w:tr>
        <w:tc>
          <w:tcPr>
            <w:tcW w:type="dxa" w:w="24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NDVI promedio</w:t>
            </w:r>
          </w:p>
        </w:tc>
        <w:tc>
          <w:tcPr>
            <w:tcW w:type="dxa" w:w="1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0.71</w:t>
            </w:r>
          </w:p>
        </w:tc>
        <w:tc>
          <w:tcPr>
            <w:tcW w:type="dxa" w:w="1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
            </w:r>
          </w:p>
        </w:tc>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+5% vs 4 semanas</w:t>
            </w:r>
          </w:p>
        </w:tc>
        <w:tc>
          <w:tcPr>
            <w:tcW w:type="dxa" w:w="27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Salud vegetativa promedio (Sentinel-2A o estimado)</w:t>
            </w:r>
          </w:p>
        </w:tc>
      </w:tr>
      <w:tr>
        <w:tc>
          <w:tcPr>
            <w:tcW w:type="dxa" w:w="24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Riesgo hídrico</w:t>
            </w:r>
          </w:p>
        </w:tc>
        <w:tc>
          <w:tcPr>
            <w:tcW w:type="dxa" w:w="1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18</w:t>
            </w:r>
          </w:p>
        </w:tc>
        <w:tc>
          <w:tcPr>
            <w:tcW w:type="dxa" w:w="1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w:t>
            </w:r>
          </w:p>
        </w:tc>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−9% vs sem. ant.</w:t>
            </w:r>
          </w:p>
        </w:tc>
        <w:tc>
          <w:tcPr>
            <w:tcW w:type="dxa" w:w="27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Porcentaje de parcelas con déficit acumulado &gt; umbral</w:t>
            </w:r>
          </w:p>
        </w:tc>
      </w:tr>
    </w:tbl>
    <w:p>
      <w:r>
        <w:t xml:space="preserve"/>
      </w:r>
    </w:p>
    <w:p>
      <w:pPr>
        <w:spacing w:after="120"/>
      </w:pPr>
      <w:r>
        <w:rPr>
          <w:rFonts w:ascii="Arial" w:cs="Arial" w:eastAsia="Arial" w:hAnsi="Arial"/>
          <w:sz w:val="22"/>
          <w:szCs w:val="22"/>
        </w:rPr>
        <w:t xml:space="preserve">Nota de implementación: los KPI de Consumo y ETc consumen datos reales de la API. NDVI y Riesgo hídrico son actualmente sintéticos (hardcoded en App.jsx KPI_DATA). La refactorización para conectarlos a endpoints reales es Fase B.</w:t>
      </w:r>
    </w:p>
    <w:p>
      <w:pPr>
        <w:pStyle w:val="Heading2"/>
        <w:spacing w:after="120" w:before="280"/>
      </w:pPr>
      <w:r>
        <w:rPr>
          <w:rFonts w:ascii="Arial" w:cs="Arial" w:eastAsia="Arial" w:hAnsi="Arial"/>
          <w:b/>
          <w:bCs/>
          <w:color w:val="0F6CBD"/>
          <w:sz w:val="28"/>
          <w:szCs w:val="28"/>
        </w:rPr>
        <w:t xml:space="preserve">4.2 Sección: Inteligencia de parcela</w:t>
      </w:r>
    </w:p>
    <w:p>
      <w:pPr>
        <w:spacing w:after="120"/>
      </w:pPr>
      <w:r>
        <w:rPr>
          <w:rFonts w:ascii="Arial" w:cs="Arial" w:eastAsia="Arial" w:hAnsi="Arial"/>
          <w:sz w:val="22"/>
          <w:szCs w:val="22"/>
        </w:rPr>
        <w:t xml:space="preserve">Esta sección contiene tres subwidgets dispuestos en un grid 2 columnas. Muestra el comportamiento hídrico y climático del módulo con granularidad de 7-14 días.</w:t>
      </w:r>
    </w:p>
    <w:p>
      <w:r>
        <w:t xml:space="preserve"/>
      </w:r>
    </w:p>
    <w:p>
      <w:pPr>
        <w:pStyle w:val="Heading3"/>
        <w:spacing w:after="100" w:before="220"/>
      </w:pPr>
      <w:r>
        <w:rPr>
          <w:rFonts w:ascii="Arial" w:cs="Arial" w:eastAsia="Arial" w:hAnsi="Arial"/>
          <w:b/>
          <w:bCs/>
          <w:color w:val="1F2D3D"/>
          <w:sz w:val="24"/>
          <w:szCs w:val="24"/>
        </w:rPr>
        <w:t xml:space="preserve">4.2.1 Heatmap déficit hídrico (7 días forward)</w:t>
      </w:r>
    </w:p>
    <w:p>
      <w:pPr>
        <w:spacing w:after="120"/>
      </w:pPr>
      <w:r>
        <w:rPr>
          <w:rFonts w:ascii="Arial" w:cs="Arial" w:eastAsia="Arial" w:hAnsi="Arial"/>
          <w:sz w:val="22"/>
          <w:szCs w:val="22"/>
        </w:rPr>
        <w:t xml:space="preserve">7 celdas coloreadas por nivel de déficit proyectado para los próximos 7 días. El color va de verde (bajo) a rojo (severo). Cada celda muestra el porcentaje de déficit estimado y el día de la semana.</w:t>
      </w:r>
    </w:p>
    <w:p>
      <w:pPr>
        <w:spacing w:after="120"/>
      </w:pPr>
      <w:r>
        <w:rPr>
          <w:rFonts w:ascii="Arial" w:cs="Arial" w:eastAsia="Arial" w:hAnsi="Arial"/>
          <w:sz w:val="22"/>
          <w:szCs w:val="22"/>
        </w:rPr>
        <w:t xml:space="preserve">Fuente de datos: endpoint GET /api/parcelas/{id}/forecast?horizon=7 (ya implementado). Para la vista agrupada del módulo: promedio de los forecasts de todas las parcelas activas.</w:t>
      </w:r>
    </w:p>
    <w:p>
      <w:pPr>
        <w:spacing w:after="120"/>
      </w:pPr>
      <w:r>
        <w:rPr>
          <w:rFonts w:ascii="Arial" w:cs="Arial" w:eastAsia="Arial" w:hAnsi="Arial"/>
          <w:sz w:val="22"/>
          <w:szCs w:val="22"/>
        </w:rPr>
        <w:t xml:space="preserve">Gradiente de color: Verde (#43B36B) &lt; 15%, Verde claro (#A8DDB5) &lt; 25%, Ámbar (#F5A623) &lt; 35%, Rojo (#E55C5C) &gt;= 35%.</w:t>
      </w:r>
    </w:p>
    <w:p>
      <w:pPr>
        <w:pStyle w:val="Heading3"/>
        <w:spacing w:after="100" w:before="220"/>
      </w:pPr>
      <w:r>
        <w:rPr>
          <w:rFonts w:ascii="Arial" w:cs="Arial" w:eastAsia="Arial" w:hAnsi="Arial"/>
          <w:b/>
          <w:bCs/>
          <w:color w:val="1F2D3D"/>
          <w:sz w:val="24"/>
          <w:szCs w:val="24"/>
        </w:rPr>
        <w:t xml:space="preserve">4.2.2 Pulso climático (14 días)</w:t>
      </w:r>
    </w:p>
    <w:p>
      <w:pPr>
        <w:spacing w:after="120"/>
      </w:pPr>
      <w:r>
        <w:rPr>
          <w:rFonts w:ascii="Arial" w:cs="Arial" w:eastAsia="Arial" w:hAnsi="Arial"/>
          <w:sz w:val="22"/>
          <w:szCs w:val="22"/>
        </w:rPr>
        <w:t xml:space="preserve">4 sparklines individuales: Temperatura máxima (°C), ET₀ (mm/d), Precipitación (mm), Humedad relativa (%). Cada sparkline muestra los últimos 14 días y el valor actual.</w:t>
      </w:r>
    </w:p>
    <w:p>
      <w:pPr>
        <w:spacing w:after="120"/>
      </w:pPr>
      <w:r>
        <w:rPr>
          <w:rFonts w:ascii="Arial" w:cs="Arial" w:eastAsia="Arial" w:hAnsi="Arial"/>
          <w:sz w:val="22"/>
          <w:szCs w:val="22"/>
        </w:rPr>
        <w:t xml:space="preserve">Fuente de datos: endpoint GET /api/parcelas/{id}/clima?dias=14 (existente en riego_api.py, consulta clima_diario). Para el módulo agregado: promedio de todas las parcelas o lectura directa de estación M3.</w:t>
      </w:r>
    </w:p>
    <w:p>
      <w:pPr>
        <w:spacing w:after="120"/>
      </w:pPr>
      <w:r>
        <w:rPr>
          <w:rFonts w:ascii="Arial" w:cs="Arial" w:eastAsia="Arial" w:hAnsi="Arial"/>
          <w:sz w:val="22"/>
          <w:szCs w:val="22"/>
        </w:rPr>
        <w:t xml:space="preserve">El pulso climático explica por qué subió el déficit — es contexto, no alerta. Un ETc alto + sin lluvia = patrón esperado, no emergencia.</w:t>
      </w:r>
    </w:p>
    <w:p>
      <w:pPr>
        <w:pStyle w:val="Heading3"/>
        <w:spacing w:after="100" w:before="220"/>
      </w:pPr>
      <w:r>
        <w:rPr>
          <w:rFonts w:ascii="Arial" w:cs="Arial" w:eastAsia="Arial" w:hAnsi="Arial"/>
          <w:b/>
          <w:bCs/>
          <w:color w:val="1F2D3D"/>
          <w:sz w:val="24"/>
          <w:szCs w:val="24"/>
        </w:rPr>
        <w:t xml:space="preserve">4.2.3 Consumo acumulado vs. meta FAO-56</w:t>
      </w:r>
    </w:p>
    <w:p>
      <w:pPr>
        <w:spacing w:after="120"/>
      </w:pPr>
      <w:r>
        <w:rPr>
          <w:rFonts w:ascii="Arial" w:cs="Arial" w:eastAsia="Arial" w:hAnsi="Arial"/>
          <w:sz w:val="22"/>
          <w:szCs w:val="22"/>
        </w:rPr>
        <w:t xml:space="preserve">Línea suavizada (cubic bezier) del consumo acumulado promedio del módulo, semana por semana, contra dos líneas de referencia: Baseline 8,000 m³/ha (línea discontinua gris) y Meta FAO-56 6,000 m³/ha (línea discontinua verde).</w:t>
      </w:r>
    </w:p>
    <w:p>
      <w:pPr>
        <w:spacing w:after="120"/>
      </w:pPr>
      <w:r>
        <w:rPr>
          <w:rFonts w:ascii="Arial" w:cs="Arial" w:eastAsia="Arial" w:hAnsi="Arial"/>
          <w:sz w:val="22"/>
          <w:szCs w:val="22"/>
        </w:rPr>
        <w:t xml:space="preserve">El área bajo la curva actual se rellena con gradiente azul. Los puntos de datos semanales son interactivos (tooltip). Debajo del gráfico: 3 chips de resumen (Actual / Meta FAO / Ahorro %).</w:t>
      </w:r>
    </w:p>
    <w:p>
      <w:pPr>
        <w:spacing w:after="120"/>
      </w:pPr>
      <w:r>
        <w:rPr>
          <w:rFonts w:ascii="Arial" w:cs="Arial" w:eastAsia="Arial" w:hAnsi="Arial"/>
          <w:sz w:val="22"/>
          <w:szCs w:val="22"/>
        </w:rPr>
        <w:t xml:space="preserve">Clave de diseño: el gráfico responde ¿cómo vamos respecto al objetivo del proyecto? No ¿qué hago hoy?.</w:t>
      </w:r>
    </w:p>
    <w:p>
      <w:pPr>
        <w:pStyle w:val="Heading2"/>
        <w:spacing w:after="120" w:before="280"/>
      </w:pPr>
      <w:r>
        <w:rPr>
          <w:rFonts w:ascii="Arial" w:cs="Arial" w:eastAsia="Arial" w:hAnsi="Arial"/>
          <w:b/>
          <w:bCs/>
          <w:color w:val="0F6CBD"/>
          <w:sz w:val="28"/>
          <w:szCs w:val="28"/>
        </w:rPr>
        <w:t xml:space="preserve">4.3 Sección: Estado agronómico FAO-56 · NDVI · Ahorros</w:t>
      </w:r>
    </w:p>
    <w:p>
      <w:pPr>
        <w:spacing w:after="120"/>
      </w:pPr>
      <w:r>
        <w:rPr>
          <w:rFonts w:ascii="Arial" w:cs="Arial" w:eastAsia="Arial" w:hAnsi="Arial"/>
          <w:sz w:val="22"/>
          <w:szCs w:val="22"/>
        </w:rPr>
        <w:t xml:space="preserve">Esta sección contiene tres subwidgets dispuestos horizontalmente:</w:t>
      </w:r>
    </w:p>
    <w:p>
      <w:r>
        <w:t xml:space="preserve"/>
      </w:r>
    </w:p>
    <w:p>
      <w:pPr>
        <w:pStyle w:val="Heading3"/>
        <w:spacing w:after="100" w:before="220"/>
      </w:pPr>
      <w:r>
        <w:rPr>
          <w:rFonts w:ascii="Arial" w:cs="Arial" w:eastAsia="Arial" w:hAnsi="Arial"/>
          <w:b/>
          <w:bCs/>
          <w:color w:val="1F2D3D"/>
          <w:sz w:val="24"/>
          <w:szCs w:val="24"/>
        </w:rPr>
        <w:t xml:space="preserve">4.3.1 Tabla de Estado FAO-56 por cultivo</w:t>
      </w:r>
    </w:p>
    <w:p>
      <w:pPr>
        <w:spacing w:after="120"/>
      </w:pPr>
      <w:r>
        <w:rPr>
          <w:rFonts w:ascii="Arial" w:cs="Arial" w:eastAsia="Arial" w:hAnsi="Arial"/>
          <w:sz w:val="22"/>
          <w:szCs w:val="22"/>
        </w:rPr>
        <w:t xml:space="preserve">Tabla de 7 columnas: Cultivo (icono + nombre), Área (ha), Etapa fenológica, ET₀ (mm/d), ETc (mm/d), Kc (barra visual), Déficit (% con barra de color).</w:t>
      </w:r>
    </w:p>
    <w:p>
      <w:pPr>
        <w:spacing w:after="120"/>
      </w:pPr>
      <w:r>
        <w:rPr>
          <w:rFonts w:ascii="Arial" w:cs="Arial" w:eastAsia="Arial" w:hAnsi="Arial"/>
          <w:sz w:val="22"/>
          <w:szCs w:val="22"/>
        </w:rPr>
        <w:t xml:space="preserve">Nota: esta tabla agrega por cultivo, no por parcela. Es visión agronómica estratégica, no seguimiento operativo. Los 5 cultivos válidos son: Maíz, Algodón, Chile, Frijol, Uva (según CLAUDE.md sección 4).</w:t>
      </w:r>
    </w:p>
    <w:p>
      <w:pPr>
        <w:spacing w:after="120"/>
      </w:pPr>
      <w:r>
        <w:rPr>
          <w:rFonts w:ascii="Arial" w:cs="Arial" w:eastAsia="Arial" w:hAnsi="Arial"/>
          <w:sz w:val="22"/>
          <w:szCs w:val="22"/>
        </w:rPr>
        <w:t xml:space="preserve">Fuente de datos: cálculo backend FAO-56 en balance_hidrico.py + KC_TABLE. Endpoint sugerido: GET /api/cultivos/fao-summary.</w:t>
      </w:r>
    </w:p>
    <w:p>
      <w:pPr>
        <w:pStyle w:val="Heading3"/>
        <w:spacing w:after="100" w:before="220"/>
      </w:pPr>
      <w:r>
        <w:rPr>
          <w:rFonts w:ascii="Arial" w:cs="Arial" w:eastAsia="Arial" w:hAnsi="Arial"/>
          <w:b/>
          <w:bCs/>
          <w:color w:val="1F2D3D"/>
          <w:sz w:val="24"/>
          <w:szCs w:val="24"/>
        </w:rPr>
        <w:t xml:space="preserve">4.3.2 Evolución NDVI promedio</w:t>
      </w:r>
    </w:p>
    <w:p>
      <w:pPr>
        <w:spacing w:after="120"/>
      </w:pPr>
      <w:r>
        <w:rPr>
          <w:rFonts w:ascii="Arial" w:cs="Arial" w:eastAsia="Arial" w:hAnsi="Arial"/>
          <w:sz w:val="22"/>
          <w:szCs w:val="22"/>
        </w:rPr>
        <w:t xml:space="preserve">Gráfico SVG con banda de percentil P10–P90 (fill verde claro) y línea central de NDVI promedio por semana. 8 semanas visibles. El índice NDVI va de 0.35 (estrés) a 0.93 (óptimo).</w:t>
      </w:r>
    </w:p>
    <w:p>
      <w:pPr>
        <w:spacing w:after="120"/>
      </w:pPr>
      <w:r>
        <w:rPr>
          <w:rFonts w:ascii="Arial" w:cs="Arial" w:eastAsia="Arial" w:hAnsi="Arial"/>
          <w:sz w:val="22"/>
          <w:szCs w:val="22"/>
        </w:rPr>
        <w:t xml:space="preserve">El color de la línea según valor NDVI: &lt; 0.45 rojo, &lt; 0.55 ámbar, &lt; 0.65 amarillo, &lt; 0.75 verde claro, &gt;= 0.75 verde.</w:t>
      </w:r>
    </w:p>
    <w:p>
      <w:pPr>
        <w:spacing w:after="120"/>
      </w:pPr>
      <w:r>
        <w:rPr>
          <w:rFonts w:ascii="Arial" w:cs="Arial" w:eastAsia="Arial" w:hAnsi="Arial"/>
          <w:sz w:val="22"/>
          <w:szCs w:val="22"/>
        </w:rPr>
        <w:t xml:space="preserve">Fuente de datos actual: sintético (NDVI_EVOLUTION en App.jsx). Integración real: Sentinel-2A vía NASA POWER o API Copernicus en Fase C. El campo ya está preparado en la estructura de datos.</w:t>
      </w:r>
    </w:p>
    <w:p>
      <w:pPr>
        <w:pStyle w:val="Heading3"/>
        <w:spacing w:after="100" w:before="220"/>
      </w:pPr>
      <w:r>
        <w:rPr>
          <w:rFonts w:ascii="Arial" w:cs="Arial" w:eastAsia="Arial" w:hAnsi="Arial"/>
          <w:b/>
          <w:bCs/>
          <w:color w:val="1F2D3D"/>
          <w:sz w:val="24"/>
          <w:szCs w:val="24"/>
        </w:rPr>
        <w:t xml:space="preserve">4.3.3 Ahorro hídrico por cultivo</w:t>
      </w:r>
    </w:p>
    <w:p>
      <w:pPr>
        <w:spacing w:after="120"/>
      </w:pPr>
      <w:r>
        <w:rPr>
          <w:rFonts w:ascii="Arial" w:cs="Arial" w:eastAsia="Arial" w:hAnsi="Arial"/>
          <w:sz w:val="22"/>
          <w:szCs w:val="22"/>
        </w:rPr>
        <w:t xml:space="preserve">Barras horizontales apiladas para cada cultivo. Cada cultivo muestra: baseline historíco (barra translucida), consumo optimizado (barra sólida), porcentaje de ahorro (texto derecho). Promedio total destacado en chip verde.</w:t>
      </w:r>
    </w:p>
    <w:p>
      <w:pPr>
        <w:spacing w:after="120"/>
      </w:pPr>
      <w:r>
        <w:rPr>
          <w:rFonts w:ascii="Arial" w:cs="Arial" w:eastAsia="Arial" w:hAnsi="Arial"/>
          <w:sz w:val="22"/>
          <w:szCs w:val="22"/>
        </w:rPr>
        <w:t xml:space="preserve">Esta visualización comunica la eficiencia diferencial del sistema por cultivo — ¿dónde está funcionando mejor el modelo agronómico?</w:t>
      </w:r>
    </w:p>
    <w:p>
      <w:pPr>
        <w:pStyle w:val="Heading2"/>
        <w:spacing w:after="120" w:before="280"/>
      </w:pPr>
      <w:r>
        <w:rPr>
          <w:rFonts w:ascii="Arial" w:cs="Arial" w:eastAsia="Arial" w:hAnsi="Arial"/>
          <w:b/>
          <w:bCs/>
          <w:color w:val="0F6CBD"/>
          <w:sz w:val="28"/>
          <w:szCs w:val="28"/>
        </w:rPr>
        <w:t xml:space="preserve">4.4 Sección: Cumplimiento del ciclo · Forecast 14 semanas</w:t>
      </w:r>
    </w:p>
    <w:p>
      <w:pPr>
        <w:spacing w:after="120"/>
      </w:pPr>
      <w:r>
        <w:rPr>
          <w:rFonts w:ascii="Arial" w:cs="Arial" w:eastAsia="Arial" w:hAnsi="Arial"/>
          <w:sz w:val="22"/>
          <w:szCs w:val="22"/>
        </w:rPr>
        <w:t xml:space="preserve">Barra de progreso del ciclo (semanas completadas / total). 4 chips de datos: Consumo acumulado, Ahorro vs meta, Parcelas en meta (N/24), Forecast fin de ciclo (ml predicho vs target).</w:t>
      </w:r>
    </w:p>
    <w:p>
      <w:pPr>
        <w:spacing w:after="120"/>
      </w:pPr>
      <w:r>
        <w:rPr>
          <w:rFonts w:ascii="Arial" w:cs="Arial" w:eastAsia="Arial" w:hAnsi="Arial"/>
          <w:sz w:val="22"/>
          <w:szCs w:val="22"/>
        </w:rPr>
        <w:t xml:space="preserve">Chip de estado del forecast: verde "Forecast: dentro de meta" si el consumo proyectado &lt;= 6,000 m³/ha; ámbar "Forecast: sobre meta" si supera el objetivo.</w:t>
      </w:r>
    </w:p>
    <w:p>
      <w:pPr>
        <w:spacing w:after="120"/>
      </w:pPr>
      <w:r>
        <w:rPr>
          <w:rFonts w:ascii="Arial" w:cs="Arial" w:eastAsia="Arial" w:hAnsi="Arial"/>
          <w:sz w:val="22"/>
          <w:szCs w:val="22"/>
        </w:rPr>
        <w:t xml:space="preserve">Fuente de datos: comb. de db_api.py (consumo real) + eto_forecast.py (Ridge Regression, 7-días) extrapolado al cierre de ciclo. La proyección es un estimado, no una certeza; el UI debe comunicarlo.</w:t>
      </w:r>
    </w:p>
    <w:p>
      <w:r>
        <w:br w:type="page"/>
      </w:r>
    </w:p>
    <w:p>
      <w:pPr>
        <w:pStyle w:val="Heading1"/>
        <w:spacing w:after="180" w:before="360"/>
      </w:pPr>
      <w:r>
        <w:rPr>
          <w:rFonts w:ascii="Arial" w:cs="Arial" w:eastAsia="Arial" w:hAnsi="Arial"/>
          <w:b/>
          <w:bCs/>
          <w:color w:val="0A3D62"/>
          <w:sz w:val="34"/>
          <w:szCs w:val="34"/>
        </w:rPr>
        <w:t xml:space="preserve">5. Tab 2 — Metrics</w:t>
      </w:r>
    </w:p>
    <w:p>
      <w:pPr>
        <w:spacing w:after="120"/>
      </w:pPr>
      <w:r>
        <w:rPr>
          <w:rFonts w:ascii="Arial" w:cs="Arial" w:eastAsia="Arial" w:hAnsi="Arial"/>
          <w:sz w:val="22"/>
          <w:szCs w:val="22"/>
        </w:rPr>
        <w:t xml:space="preserve">Objetivo: visualizar inteligencia predictiva y métricas avanzadas. Responde: ¿Qué dicen los modelos? ¿Cuál es el riesgo del ciclo? ¿Qué cultivos son más eficientes? ¿Cómo terminará el ciclo? ¿Qué zonas muestran estrés?</w:t>
      </w:r>
    </w:p>
    <w:p>
      <w:pPr>
        <w:spacing w:after="120"/>
      </w:pPr>
      <w:r>
        <w:rPr>
          <w:rFonts w:ascii="Arial" w:cs="Arial" w:eastAsia="Arial" w:hAnsi="Arial"/>
          <w:sz w:val="22"/>
          <w:szCs w:val="22"/>
        </w:rPr>
        <w:t xml:space="preserve">La vista debe sentirse: analítica, predictiva, orientada a insights, con GIS premium. Nunca operacional.</w:t>
      </w:r>
    </w:p>
    <w:p>
      <w:r>
        <w:t xml:space="preserve"/>
      </w:r>
    </w:p>
    <w:p>
      <w:pPr>
        <w:pStyle w:val="Heading2"/>
        <w:spacing w:after="120" w:before="280"/>
      </w:pPr>
      <w:r>
        <w:rPr>
          <w:rFonts w:ascii="Arial" w:cs="Arial" w:eastAsia="Arial" w:hAnsi="Arial"/>
          <w:b/>
          <w:bCs/>
          <w:color w:val="0F6CBD"/>
          <w:sz w:val="28"/>
          <w:szCs w:val="28"/>
        </w:rPr>
        <w:t xml:space="preserve">5.1 Sección: Riesgo agronómico · IA/ML</w:t>
      </w:r>
    </w:p>
    <w:p>
      <w:pPr>
        <w:spacing w:after="120"/>
      </w:pPr>
      <w:r>
        <w:rPr>
          <w:rFonts w:ascii="Arial" w:cs="Arial" w:eastAsia="Arial" w:hAnsi="Arial"/>
          <w:sz w:val="22"/>
          <w:szCs w:val="22"/>
        </w:rPr>
        <w:t xml:space="preserve">4 tarjetas de riesgo con doughnut chart individual (SVG inline), etiqueta IA/ML con nivel (Bajo/Moderado/Alto), valor porcentual, descripción y tendencia semanal.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700"/>
        <w:gridCol w:w="1660"/>
      </w:tblGrid>
      <w:tr>
        <w:tc>
          <w:tcPr>
            <w:tcW w:type="dxa" w:w="20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Risk Card</w:t>
            </w:r>
          </w:p>
        </w:tc>
        <w:tc>
          <w:tcPr>
            <w:tcW w:type="dxa" w:w="30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Descripción</w:t>
            </w:r>
          </w:p>
        </w:tc>
        <w:tc>
          <w:tcPr>
            <w:tcW w:type="dxa" w:w="27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Fuente de datos</w:t>
            </w:r>
          </w:p>
        </w:tc>
        <w:tc>
          <w:tcPr>
            <w:tcW w:type="dxa" w:w="166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Nivel ref.</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Yield Risk</w:t>
            </w:r>
          </w:p>
        </w:tc>
        <w:tc>
          <w:tcPr>
            <w:tcW w:type="dxa" w:w="3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Pérdida esperada sobre meta de rendimiento</w:t>
            </w:r>
          </w:p>
        </w:tc>
        <w:tc>
          <w:tcPr>
            <w:tcW w:type="dxa" w:w="27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XGBoost (xgboost_riego.py) + datos históricos</w:t>
            </w:r>
          </w:p>
        </w:tc>
        <w:tc>
          <w:tcPr>
            <w:tcW w:type="dxa" w:w="16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Bajo (14%)</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Heat Stress</w:t>
            </w:r>
          </w:p>
        </w:tc>
        <w:tc>
          <w:tcPr>
            <w:tcW w:type="dxa" w:w="3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Días con temperatura &gt; 34°C proyectados en 7 días</w:t>
            </w:r>
          </w:p>
        </w:tc>
        <w:tc>
          <w:tcPr>
            <w:tcW w:type="dxa" w:w="27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NASA POWER ETL + eto_forecast.py</w:t>
            </w:r>
          </w:p>
        </w:tc>
        <w:tc>
          <w:tcPr>
            <w:tcW w:type="dxa" w:w="16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Moderado (42%)</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Water Stress</w:t>
            </w:r>
          </w:p>
        </w:tc>
        <w:tc>
          <w:tcPr>
            <w:tcW w:type="dxa" w:w="3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Déficit FAO-56 acumulado normalizado del módulo</w:t>
            </w:r>
          </w:p>
        </w:tc>
        <w:tc>
          <w:tcPr>
            <w:tcW w:type="dxa" w:w="27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balance_hidrico.py + riego_api.py</w:t>
            </w:r>
          </w:p>
        </w:tc>
        <w:tc>
          <w:tcPr>
            <w:tcW w:type="dxa" w:w="16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Moderado (38%)</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Riesgo de incumplimiento</w:t>
            </w:r>
          </w:p>
        </w:tc>
        <w:tc>
          <w:tcPr>
            <w:tcW w:type="dxa" w:w="3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Probabilidad de cerrar el ciclo sobre la meta de 6,000 m³/ha</w:t>
            </w:r>
          </w:p>
        </w:tc>
        <w:tc>
          <w:tcPr>
            <w:tcW w:type="dxa" w:w="27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Ridge Regression eto_forecast.py + extrapolación lineal</w:t>
            </w:r>
          </w:p>
        </w:tc>
        <w:tc>
          <w:tcPr>
            <w:tcW w:type="dxa" w:w="16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Bajo (22%)</w:t>
            </w:r>
          </w:p>
        </w:tc>
      </w:tr>
    </w:tbl>
    <w:p>
      <w:r>
        <w:t xml:space="preserve"/>
      </w:r>
    </w:p>
    <w:p>
      <w:pPr>
        <w:spacing w:after="120"/>
      </w:pPr>
      <w:r>
        <w:rPr>
          <w:rFonts w:ascii="Arial" w:cs="Arial" w:eastAsia="Arial" w:hAnsi="Arial"/>
          <w:sz w:val="22"/>
          <w:szCs w:val="22"/>
        </w:rPr>
        <w:t xml:space="preserve">Nota de calibración: los valores actuales son sintéticos (RISK_CARDS en App.jsx). La integración real con los modelos del backend es Fase B. Los modelos de ML (XGBoost, Isolation Forest) tienen documentación en backend/core/ y ml/inference/.</w:t>
      </w:r>
    </w:p>
    <w:p>
      <w:pPr>
        <w:pStyle w:val="Heading2"/>
        <w:spacing w:after="120" w:before="280"/>
      </w:pPr>
      <w:r>
        <w:rPr>
          <w:rFonts w:ascii="Arial" w:cs="Arial" w:eastAsia="Arial" w:hAnsi="Arial"/>
          <w:b/>
          <w:bCs/>
          <w:color w:val="0F6CBD"/>
          <w:sz w:val="28"/>
          <w:szCs w:val="28"/>
        </w:rPr>
        <w:t xml:space="preserve">5.2 Sección: Forecast del ciclo · Proyección IA</w:t>
      </w:r>
    </w:p>
    <w:p>
      <w:pPr>
        <w:spacing w:after="120"/>
      </w:pPr>
      <w:r>
        <w:rPr>
          <w:rFonts w:ascii="Arial" w:cs="Arial" w:eastAsia="Arial" w:hAnsi="Arial"/>
          <w:sz w:val="22"/>
          <w:szCs w:val="22"/>
        </w:rPr>
        <w:t xml:space="preserve">Tarjeta expandida que muestra la proyección del ciclo completo. Incluye: barra de progreso semanal (14 segmentos), estado del forecast (EN META / SOBRE META), y 4 chips de proyección:</w:t>
      </w:r>
    </w:p>
    <w:p>
      <w:pPr>
        <w:pStyle w:val="ListParagraph"/>
        <w:numPr>
          <w:ilvl w:val="0"/>
          <w:numId w:val="2"/>
        </w:numPr>
        <w:spacing w:after="80"/>
      </w:pPr>
      <w:r>
        <w:rPr>
          <w:rFonts w:ascii="Arial" w:cs="Arial" w:eastAsia="Arial" w:hAnsi="Arial"/>
          <w:sz w:val="22"/>
          <w:szCs w:val="22"/>
        </w:rPr>
        <w:t xml:space="preserve">Consumo proyectado al cierre del ciclo (m³/ha)</w:t>
      </w:r>
    </w:p>
    <w:p>
      <w:pPr>
        <w:pStyle w:val="ListParagraph"/>
        <w:numPr>
          <w:ilvl w:val="0"/>
          <w:numId w:val="2"/>
        </w:numPr>
        <w:spacing w:after="80"/>
      </w:pPr>
      <w:r>
        <w:rPr>
          <w:rFonts w:ascii="Arial" w:cs="Arial" w:eastAsia="Arial" w:hAnsi="Arial"/>
          <w:sz w:val="22"/>
          <w:szCs w:val="22"/>
        </w:rPr>
        <w:t xml:space="preserve">Ahorro proyectado vs meta de 2,500 m³/ha</w:t>
      </w:r>
    </w:p>
    <w:p>
      <w:pPr>
        <w:pStyle w:val="ListParagraph"/>
        <w:numPr>
          <w:ilvl w:val="0"/>
          <w:numId w:val="2"/>
        </w:numPr>
        <w:spacing w:after="80"/>
      </w:pPr>
      <w:r>
        <w:rPr>
          <w:rFonts w:ascii="Arial" w:cs="Arial" w:eastAsia="Arial" w:hAnsi="Arial"/>
          <w:sz w:val="22"/>
          <w:szCs w:val="22"/>
        </w:rPr>
        <w:t xml:space="preserve">Parcelas en meta (N/24)</w:t>
      </w:r>
    </w:p>
    <w:p>
      <w:pPr>
        <w:pStyle w:val="ListParagraph"/>
        <w:numPr>
          <w:ilvl w:val="0"/>
          <w:numId w:val="2"/>
        </w:numPr>
        <w:spacing w:after="80"/>
      </w:pPr>
      <w:r>
        <w:rPr>
          <w:rFonts w:ascii="Arial" w:cs="Arial" w:eastAsia="Arial" w:hAnsi="Arial"/>
          <w:sz w:val="22"/>
          <w:szCs w:val="22"/>
        </w:rPr>
        <w:t xml:space="preserve">Probabilidad de cumplimiento (%)</w:t>
      </w:r>
    </w:p>
    <w:p>
      <w:r>
        <w:t xml:space="preserve"/>
      </w:r>
    </w:p>
    <w:p>
      <w:pPr>
        <w:spacing w:after="120"/>
      </w:pPr>
      <w:r>
        <w:rPr>
          <w:rFonts w:ascii="Arial" w:cs="Arial" w:eastAsia="Arial" w:hAnsi="Arial"/>
          <w:sz w:val="22"/>
          <w:szCs w:val="22"/>
        </w:rPr>
        <w:t xml:space="preserve">La barra semanal diferencia semanas completadas (azul), semana actual (azul oscuro) y semanas futuras (gris). Esta visualización comunica el punto exacto del ciclo en el tiempo.</w:t>
      </w:r>
    </w:p>
    <w:p>
      <w:pPr>
        <w:pStyle w:val="Heading2"/>
        <w:spacing w:after="120" w:before="280"/>
      </w:pPr>
      <w:r>
        <w:rPr>
          <w:rFonts w:ascii="Arial" w:cs="Arial" w:eastAsia="Arial" w:hAnsi="Arial"/>
          <w:b/>
          <w:bCs/>
          <w:color w:val="0F6CBD"/>
          <w:sz w:val="28"/>
          <w:szCs w:val="28"/>
        </w:rPr>
        <w:t xml:space="preserve">5.3 Sección: Métricas predictivas · Modelo IA</w:t>
      </w:r>
    </w:p>
    <w:p>
      <w:pPr>
        <w:spacing w:after="120"/>
      </w:pPr>
      <w:r>
        <w:rPr>
          <w:rFonts w:ascii="Arial" w:cs="Arial" w:eastAsia="Arial" w:hAnsi="Arial"/>
          <w:sz w:val="22"/>
          <w:szCs w:val="22"/>
        </w:rPr>
        <w:t xml:space="preserve">Grid 3 columnas con 6 subwidgets de métricas predictivas. Alternando entre líneas de tendencia (PredictiveLine) y barras horizontales (PredictiveBars):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200"/>
        <w:gridCol w:w="2560"/>
      </w:tblGrid>
      <w:tr>
        <w:tc>
          <w:tcPr>
            <w:tcW w:type="dxa" w:w="24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Widget</w:t>
            </w:r>
          </w:p>
        </w:tc>
        <w:tc>
          <w:tcPr>
            <w:tcW w:type="dxa" w:w="12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Tipo</w:t>
            </w:r>
          </w:p>
        </w:tc>
        <w:tc>
          <w:tcPr>
            <w:tcW w:type="dxa" w:w="32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Descripción</w:t>
            </w:r>
          </w:p>
        </w:tc>
        <w:tc>
          <w:tcPr>
            <w:tcW w:type="dxa" w:w="256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Datos</w:t>
            </w:r>
          </w:p>
        </w:tc>
      </w:tr>
      <w:tr>
        <w:tc>
          <w:tcPr>
            <w:tcW w:type="dxa" w:w="24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Tendencia NDVI</w:t>
            </w:r>
          </w:p>
        </w:tc>
        <w:tc>
          <w:tcPr>
            <w:tcW w:type="dxa" w:w="1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Línea</w:t>
            </w:r>
          </w:p>
        </w:tc>
        <w:tc>
          <w:tcPr>
            <w:tcW w:type="dxa" w:w="3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NDVI promedio módulo, últimas 8 semanas</w:t>
            </w:r>
          </w:p>
        </w:tc>
        <w:tc>
          <w:tcPr>
            <w:tcW w:type="dxa" w:w="25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Sintético (PRED_DATA.ndvi) → Sentinel-2A en Fase C</w:t>
            </w:r>
          </w:p>
        </w:tc>
      </w:tr>
      <w:tr>
        <w:tc>
          <w:tcPr>
            <w:tcW w:type="dxa" w:w="24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Forecast de rendimiento</w:t>
            </w:r>
          </w:p>
        </w:tc>
        <w:tc>
          <w:tcPr>
            <w:tcW w:type="dxa" w:w="1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Barras H.</w:t>
            </w:r>
          </w:p>
        </w:tc>
        <w:tc>
          <w:tcPr>
            <w:tcW w:type="dxa" w:w="3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Score normalizado vs. potencial varietal por cultivo</w:t>
            </w:r>
          </w:p>
        </w:tc>
        <w:tc>
          <w:tcPr>
            <w:tcW w:type="dxa" w:w="25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XGBoost riego + datos biológicos</w:t>
            </w:r>
          </w:p>
        </w:tc>
      </w:tr>
      <w:tr>
        <w:tc>
          <w:tcPr>
            <w:tcW w:type="dxa" w:w="24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Eficiencia hídrica</w:t>
            </w:r>
          </w:p>
        </w:tc>
        <w:tc>
          <w:tcPr>
            <w:tcW w:type="dxa" w:w="1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Barras H.</w:t>
            </w:r>
          </w:p>
        </w:tc>
        <w:tc>
          <w:tcPr>
            <w:tcW w:type="dxa" w:w="3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Producción por m³ aplicado, score 0–100</w:t>
            </w:r>
          </w:p>
        </w:tc>
        <w:tc>
          <w:tcPr>
            <w:tcW w:type="dxa" w:w="25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Relación ETa/ETc por cultivo</w:t>
            </w:r>
          </w:p>
        </w:tc>
      </w:tr>
      <w:tr>
        <w:tc>
          <w:tcPr>
            <w:tcW w:type="dxa" w:w="24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Estabilidad de cultivo</w:t>
            </w:r>
          </w:p>
        </w:tc>
        <w:tc>
          <w:tcPr>
            <w:tcW w:type="dxa" w:w="1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Barras H.</w:t>
            </w:r>
          </w:p>
        </w:tc>
        <w:tc>
          <w:tcPr>
            <w:tcW w:type="dxa" w:w="3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Desviación NDVI — menor es mejor</w:t>
            </w:r>
          </w:p>
        </w:tc>
        <w:tc>
          <w:tcPr>
            <w:tcW w:type="dxa" w:w="25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Varianza temporal NDVI por cultivo</w:t>
            </w:r>
          </w:p>
        </w:tc>
      </w:tr>
      <w:tr>
        <w:tc>
          <w:tcPr>
            <w:tcW w:type="dxa" w:w="24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Resiliencia agrícola</w:t>
            </w:r>
          </w:p>
        </w:tc>
        <w:tc>
          <w:tcPr>
            <w:tcW w:type="dxa" w:w="1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Barras H.</w:t>
            </w:r>
          </w:p>
        </w:tc>
        <w:tc>
          <w:tcPr>
            <w:tcW w:type="dxa" w:w="3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Capacidad de respuesta a estrés climático</w:t>
            </w:r>
          </w:p>
        </w:tc>
        <w:tc>
          <w:tcPr>
            <w:tcW w:type="dxa" w:w="25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Ratio respuesta/evento climático</w:t>
            </w:r>
          </w:p>
        </w:tc>
      </w:tr>
      <w:tr>
        <w:tc>
          <w:tcPr>
            <w:tcW w:type="dxa" w:w="24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Variación climática</w:t>
            </w:r>
          </w:p>
        </w:tc>
        <w:tc>
          <w:tcPr>
            <w:tcW w:type="dxa" w:w="1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Línea</w:t>
            </w:r>
          </w:p>
        </w:tc>
        <w:tc>
          <w:tcPr>
            <w:tcW w:type="dxa" w:w="3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Coef. de variación ET₀, % semanal</w:t>
            </w:r>
          </w:p>
        </w:tc>
        <w:tc>
          <w:tcPr>
            <w:tcW w:type="dxa" w:w="25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clima_diario / eto_forecast.py</w:t>
            </w:r>
          </w:p>
        </w:tc>
      </w:tr>
    </w:tbl>
    <w:p>
      <w:r>
        <w:t xml:space="preserve"/>
      </w:r>
    </w:p>
    <w:p>
      <w:pPr>
        <w:spacing w:after="120"/>
      </w:pPr>
      <w:r>
        <w:rPr>
          <w:rFonts w:ascii="Arial" w:cs="Arial" w:eastAsia="Arial" w:hAnsi="Arial"/>
          <w:sz w:val="22"/>
          <w:szCs w:val="22"/>
        </w:rPr>
        <w:t xml:space="preserve">Nota: Preferir líneas y barras sobre boxplots o violin plots. Las métricas deben ser intuitivas para un agrónomo sin formación estadística avanzada.</w:t>
      </w:r>
    </w:p>
    <w:p>
      <w:pPr>
        <w:pStyle w:val="Heading2"/>
        <w:spacing w:after="120" w:before="280"/>
      </w:pPr>
      <w:r>
        <w:rPr>
          <w:rFonts w:ascii="Arial" w:cs="Arial" w:eastAsia="Arial" w:hAnsi="Arial"/>
          <w:b/>
          <w:bCs/>
          <w:color w:val="0F6CBD"/>
          <w:sz w:val="28"/>
          <w:szCs w:val="28"/>
        </w:rPr>
        <w:t xml:space="preserve">5.4 Sección: Inteligencia agrícola espacial · GIS</w:t>
      </w:r>
    </w:p>
    <w:p>
      <w:pPr>
        <w:spacing w:after="120"/>
      </w:pPr>
      <w:r>
        <w:rPr>
          <w:rFonts w:ascii="Arial" w:cs="Arial" w:eastAsia="Arial" w:hAnsi="Arial"/>
          <w:sz w:val="22"/>
          <w:szCs w:val="22"/>
        </w:rPr>
        <w:t xml:space="preserve">Mapa GIS analítico de la parcela del módulo con visualización NDVI. Incluye:</w:t>
      </w:r>
    </w:p>
    <w:p>
      <w:pPr>
        <w:pStyle w:val="ListParagraph"/>
        <w:numPr>
          <w:ilvl w:val="0"/>
          <w:numId w:val="2"/>
        </w:numPr>
        <w:spacing w:after="80"/>
      </w:pPr>
      <w:r>
        <w:rPr>
          <w:rFonts w:ascii="Arial" w:cs="Arial" w:eastAsia="Arial" w:hAnsi="Arial"/>
          <w:sz w:val="22"/>
          <w:szCs w:val="22"/>
        </w:rPr>
        <w:t xml:space="preserve">Grid de celdas coloreadas por índice (NDVI, NDWI, EVI, Anom.) con selector de capa.</w:t>
      </w:r>
    </w:p>
    <w:p>
      <w:pPr>
        <w:pStyle w:val="ListParagraph"/>
        <w:numPr>
          <w:ilvl w:val="0"/>
          <w:numId w:val="2"/>
        </w:numPr>
        <w:spacing w:after="80"/>
      </w:pPr>
      <w:r>
        <w:rPr>
          <w:rFonts w:ascii="Arial" w:cs="Arial" w:eastAsia="Arial" w:hAnsi="Arial"/>
          <w:sz w:val="22"/>
          <w:szCs w:val="22"/>
        </w:rPr>
        <w:t xml:space="preserve">Líneas de cuadrícula de referencia geográfica.</w:t>
      </w:r>
    </w:p>
    <w:p>
      <w:pPr>
        <w:pStyle w:val="ListParagraph"/>
        <w:numPr>
          <w:ilvl w:val="0"/>
          <w:numId w:val="2"/>
        </w:numPr>
        <w:spacing w:after="80"/>
      </w:pPr>
      <w:r>
        <w:rPr>
          <w:rFonts w:ascii="Arial" w:cs="Arial" w:eastAsia="Arial" w:hAnsi="Arial"/>
          <w:sz w:val="22"/>
          <w:szCs w:val="22"/>
        </w:rPr>
        <w:t xml:space="preserve">Overlay con polígono del módulo y canales principales.</w:t>
      </w:r>
    </w:p>
    <w:p>
      <w:pPr>
        <w:pStyle w:val="ListParagraph"/>
        <w:numPr>
          <w:ilvl w:val="0"/>
          <w:numId w:val="2"/>
        </w:numPr>
        <w:spacing w:after="80"/>
      </w:pPr>
      <w:r>
        <w:rPr>
          <w:rFonts w:ascii="Arial" w:cs="Arial" w:eastAsia="Arial" w:hAnsi="Arial"/>
          <w:sz w:val="22"/>
          <w:szCs w:val="22"/>
        </w:rPr>
        <w:t xml:space="preserve">Panel flotante con métricas agrupadas: NDVI promedio (0.71), Zonas estrés (14), Eficientes (86).</w:t>
      </w:r>
    </w:p>
    <w:p>
      <w:pPr>
        <w:pStyle w:val="ListParagraph"/>
        <w:numPr>
          <w:ilvl w:val="0"/>
          <w:numId w:val="2"/>
        </w:numPr>
        <w:spacing w:after="80"/>
      </w:pPr>
      <w:r>
        <w:rPr>
          <w:rFonts w:ascii="Arial" w:cs="Arial" w:eastAsia="Arial" w:hAnsi="Arial"/>
          <w:sz w:val="22"/>
          <w:szCs w:val="22"/>
        </w:rPr>
        <w:t xml:space="preserve">Leyenda de gradiente de color con escala Estrés → Óptimo.</w:t>
      </w:r>
    </w:p>
    <w:p>
      <w:pPr>
        <w:pStyle w:val="ListParagraph"/>
        <w:numPr>
          <w:ilvl w:val="0"/>
          <w:numId w:val="2"/>
        </w:numPr>
        <w:spacing w:after="80"/>
      </w:pPr>
      <w:r>
        <w:rPr>
          <w:rFonts w:ascii="Arial" w:cs="Arial" w:eastAsia="Arial" w:hAnsi="Arial"/>
          <w:sz w:val="22"/>
          <w:szCs w:val="22"/>
        </w:rPr>
        <w:t xml:space="preserve">Coordenadas GPS y zoom en esquina superior izquierda.</w:t>
      </w:r>
    </w:p>
    <w:p>
      <w:r>
        <w:t xml:space="preserve"/>
      </w:r>
    </w:p>
    <w:p>
      <w:pPr>
        <w:spacing w:after="120"/>
      </w:pPr>
      <w:r>
        <w:rPr>
          <w:rFonts w:ascii="Arial" w:cs="Arial" w:eastAsia="Arial" w:hAnsi="Arial"/>
          <w:sz w:val="22"/>
          <w:szCs w:val="22"/>
        </w:rPr>
        <w:t xml:space="preserve">El GIS en el dashboard analítico es inteligencia espacial, no monitoreo operacional. No muestra urgencias de riego ni acciones pendientes. Muestra salud vegetativa y estrés hídrico como patrones espaciales para análisis agronómico.</w:t>
      </w:r>
    </w:p>
    <w:p>
      <w:pPr>
        <w:spacing w:after="120"/>
      </w:pPr>
      <w:r>
        <w:rPr>
          <w:rFonts w:ascii="Arial" w:cs="Arial" w:eastAsia="Arial" w:hAnsi="Arial"/>
          <w:sz w:val="22"/>
          <w:szCs w:val="22"/>
        </w:rPr>
        <w:t xml:space="preserve">Diferencia clave con el GIS del módulo Operation: aquel es choropleth de urgencias (cuándo regar). Este es choropleth de salud vegetativa (cómo están creciendo los cultivos).</w:t>
      </w:r>
    </w:p>
    <w:p>
      <w:r>
        <w:br w:type="page"/>
      </w:r>
    </w:p>
    <w:p>
      <w:pPr>
        <w:pStyle w:val="Heading1"/>
        <w:spacing w:after="180" w:before="360"/>
      </w:pPr>
      <w:r>
        <w:rPr>
          <w:rFonts w:ascii="Arial" w:cs="Arial" w:eastAsia="Arial" w:hAnsi="Arial"/>
          <w:b/>
          <w:bCs/>
          <w:color w:val="0A3D62"/>
          <w:sz w:val="34"/>
          <w:szCs w:val="34"/>
        </w:rPr>
        <w:t xml:space="preserve">6. Tab 3 — Operation (política de exclusión y enlace)</w:t>
      </w:r>
    </w:p>
    <w:p>
      <w:pPr>
        <w:spacing w:after="120"/>
      </w:pPr>
      <w:r>
        <w:rPr>
          <w:rFonts w:ascii="Arial" w:cs="Arial" w:eastAsia="Arial" w:hAnsi="Arial"/>
          <w:sz w:val="22"/>
          <w:szCs w:val="22"/>
        </w:rPr>
        <w:t xml:space="preserve">Este tab no contiene ninguna UI dentro del dashboard analítico. Su única función es comunicar al usuario que la operación existe en otro módulo y enlazar hacia él.</w:t>
      </w:r>
    </w:p>
    <w:p>
      <w:r>
        <w:t xml:space="preserve"/>
      </w:r>
    </w:p>
    <w:p>
      <w:pPr>
        <w:pStyle w:val="Heading2"/>
        <w:spacing w:after="120" w:before="280"/>
      </w:pPr>
      <w:r>
        <w:rPr>
          <w:rFonts w:ascii="Arial" w:cs="Arial" w:eastAsia="Arial" w:hAnsi="Arial"/>
          <w:b/>
          <w:bCs/>
          <w:color w:val="0F6CBD"/>
          <w:sz w:val="28"/>
          <w:szCs w:val="28"/>
        </w:rPr>
        <w:t xml:space="preserve">6.1 Comportamiento en TabNav</w:t>
      </w:r>
    </w:p>
    <w:p>
      <w:pPr>
        <w:spacing w:after="120"/>
      </w:pPr>
      <w:r>
        <w:rPr>
          <w:rFonts w:ascii="Arial" w:cs="Arial" w:eastAsia="Arial" w:hAnsi="Arial"/>
          <w:sz w:val="22"/>
          <w:szCs w:val="22"/>
        </w:rPr>
        <w:t xml:space="preserve">En App.jsx, TabNav renderiza el tab Operation con:</w:t>
      </w:r>
    </w:p>
    <w:p>
      <w:pPr>
        <w:pStyle w:val="ListParagraph"/>
        <w:numPr>
          <w:ilvl w:val="0"/>
          <w:numId w:val="2"/>
        </w:numPr>
        <w:spacing w:after="80"/>
      </w:pPr>
      <w:r>
        <w:rPr>
          <w:rFonts w:ascii="Arial" w:cs="Arial" w:eastAsia="Arial" w:hAnsi="Arial"/>
          <w:sz w:val="22"/>
          <w:szCs w:val="22"/>
        </w:rPr>
        <w:t xml:space="preserve">external: true — propiedad que deshabilita el click y muestra el ícono de enlace externo (↗).</w:t>
      </w:r>
    </w:p>
    <w:p>
      <w:pPr>
        <w:pStyle w:val="ListParagraph"/>
        <w:numPr>
          <w:ilvl w:val="0"/>
          <w:numId w:val="2"/>
        </w:numPr>
        <w:spacing w:after="80"/>
      </w:pPr>
      <w:r>
        <w:rPr>
          <w:rFonts w:ascii="Arial" w:cs="Arial" w:eastAsia="Arial" w:hAnsi="Arial"/>
          <w:sz w:val="22"/>
          <w:szCs w:val="22"/>
        </w:rPr>
        <w:t xml:space="preserve">opacity: 0.65 — indica visualmente que no es un tab interactivo del dashboard.</w:t>
      </w:r>
    </w:p>
    <w:p>
      <w:pPr>
        <w:pStyle w:val="ListParagraph"/>
        <w:numPr>
          <w:ilvl w:val="0"/>
          <w:numId w:val="2"/>
        </w:numPr>
        <w:spacing w:after="80"/>
      </w:pPr>
      <w:r>
        <w:rPr>
          <w:rFonts w:ascii="Arial" w:cs="Arial" w:eastAsia="Arial" w:hAnsi="Arial"/>
          <w:sz w:val="22"/>
          <w:szCs w:val="22"/>
        </w:rPr>
        <w:t xml:space="preserve">cursor: not-allowed — refuerza que no es clickeable.</w:t>
      </w:r>
    </w:p>
    <w:p>
      <w:pPr>
        <w:pStyle w:val="ListParagraph"/>
        <w:numPr>
          <w:ilvl w:val="0"/>
          <w:numId w:val="2"/>
        </w:numPr>
        <w:spacing w:after="80"/>
      </w:pPr>
      <w:r>
        <w:rPr>
          <w:rFonts w:ascii="Arial" w:cs="Arial" w:eastAsia="Arial" w:hAnsi="Arial"/>
          <w:sz w:val="22"/>
          <w:szCs w:val="22"/>
        </w:rPr>
        <w:t xml:space="preserve">El ícono de flecha diagonal comunica sin texto que esto redirige fuera del dashboard.</w:t>
      </w:r>
    </w:p>
    <w:p>
      <w:r>
        <w:t xml:space="preserve"/>
      </w:r>
    </w:p>
    <w:p>
      <w:pPr>
        <w:spacing w:after="120"/>
      </w:pPr>
      <w:r>
        <w:rPr>
          <w:rFonts w:ascii="Arial" w:cs="Arial" w:eastAsia="Arial" w:hAnsi="Arial"/>
          <w:sz w:val="22"/>
          <w:szCs w:val="22"/>
        </w:rPr>
        <w:t xml:space="preserve">Esta implementación es deliberada y correcta. Si en el futuro se quisiera hacer click activo, debería abrir el módulo Operation en el mismo contexto de la aplicación (cambio de tab principal), nunca renderizar UI operacional dentro del dashboard.</w:t>
      </w:r>
    </w:p>
    <w:p>
      <w:pPr>
        <w:pStyle w:val="Heading2"/>
        <w:spacing w:after="120" w:before="280"/>
      </w:pPr>
      <w:r>
        <w:rPr>
          <w:rFonts w:ascii="Arial" w:cs="Arial" w:eastAsia="Arial" w:hAnsi="Arial"/>
          <w:b/>
          <w:bCs/>
          <w:color w:val="0F6CBD"/>
          <w:sz w:val="28"/>
          <w:szCs w:val="28"/>
        </w:rPr>
        <w:t xml:space="preserve">6.2 Qué contiene el módulo Operation (fuera del dashboard)</w:t>
      </w:r>
    </w:p>
    <w:p>
      <w:pPr>
        <w:spacing w:after="120"/>
      </w:pPr>
      <w:r>
        <w:rPr>
          <w:rFonts w:ascii="Arial" w:cs="Arial" w:eastAsia="Arial" w:hAnsi="Arial"/>
          <w:sz w:val="22"/>
          <w:szCs w:val="22"/>
        </w:rPr>
        <w:t xml:space="preserve">Por referencia, el módulo Operation — que NO es parte de este documento — incluye:</w:t>
      </w:r>
    </w:p>
    <w:p>
      <w:pPr>
        <w:pStyle w:val="ListParagraph"/>
        <w:numPr>
          <w:ilvl w:val="0"/>
          <w:numId w:val="2"/>
        </w:numPr>
        <w:spacing w:after="80"/>
      </w:pPr>
      <w:r>
        <w:rPr>
          <w:rFonts w:ascii="Arial" w:cs="Arial" w:eastAsia="Arial" w:hAnsi="Arial"/>
          <w:sz w:val="22"/>
          <w:szCs w:val="22"/>
        </w:rPr>
        <w:t xml:space="preserve">Cola de triage priorizada por déficit y urgencia FAO-56</w:t>
      </w:r>
    </w:p>
    <w:p>
      <w:pPr>
        <w:pStyle w:val="ListParagraph"/>
        <w:numPr>
          <w:ilvl w:val="0"/>
          <w:numId w:val="2"/>
        </w:numPr>
        <w:spacing w:after="80"/>
      </w:pPr>
      <w:r>
        <w:rPr>
          <w:rFonts w:ascii="Arial" w:cs="Arial" w:eastAsia="Arial" w:hAnsi="Arial"/>
          <w:sz w:val="22"/>
          <w:szCs w:val="22"/>
        </w:rPr>
        <w:t xml:space="preserve">Banner semáforo operacional (críticas / moderadas / preventivas)</w:t>
      </w:r>
    </w:p>
    <w:p>
      <w:pPr>
        <w:pStyle w:val="ListParagraph"/>
        <w:numPr>
          <w:ilvl w:val="0"/>
          <w:numId w:val="2"/>
        </w:numPr>
        <w:spacing w:after="80"/>
      </w:pPr>
      <w:r>
        <w:rPr>
          <w:rFonts w:ascii="Arial" w:cs="Arial" w:eastAsia="Arial" w:hAnsi="Arial"/>
          <w:sz w:val="22"/>
          <w:szCs w:val="22"/>
        </w:rPr>
        <w:t xml:space="preserve">GIS de urgencias con choropleth de nivel_urgencia</w:t>
      </w:r>
    </w:p>
    <w:p>
      <w:pPr>
        <w:pStyle w:val="ListParagraph"/>
        <w:numPr>
          <w:ilvl w:val="0"/>
          <w:numId w:val="2"/>
        </w:numPr>
        <w:spacing w:after="80"/>
      </w:pPr>
      <w:r>
        <w:rPr>
          <w:rFonts w:ascii="Arial" w:cs="Arial" w:eastAsia="Arial" w:hAnsi="Arial"/>
          <w:sz w:val="22"/>
          <w:szCs w:val="22"/>
        </w:rPr>
        <w:t xml:space="preserve">Acciones [Regar] [Programar] [Ver detalle] por parcela</w:t>
      </w:r>
    </w:p>
    <w:p>
      <w:pPr>
        <w:pStyle w:val="ListParagraph"/>
        <w:numPr>
          <w:ilvl w:val="0"/>
          <w:numId w:val="2"/>
        </w:numPr>
        <w:spacing w:after="80"/>
      </w:pPr>
      <w:r>
        <w:rPr>
          <w:rFonts w:ascii="Arial" w:cs="Arial" w:eastAsia="Arial" w:hAnsi="Arial"/>
          <w:sz w:val="22"/>
          <w:szCs w:val="22"/>
        </w:rPr>
        <w:t xml:space="preserve">Drift de datos (clima stale, riego stale, rec stale)</w:t>
      </w:r>
    </w:p>
    <w:p>
      <w:pPr>
        <w:pStyle w:val="ListParagraph"/>
        <w:numPr>
          <w:ilvl w:val="0"/>
          <w:numId w:val="2"/>
        </w:numPr>
        <w:spacing w:after="80"/>
      </w:pPr>
      <w:r>
        <w:rPr>
          <w:rFonts w:ascii="Arial" w:cs="Arial" w:eastAsia="Arial" w:hAnsi="Arial"/>
          <w:sz w:val="22"/>
          <w:szCs w:val="22"/>
        </w:rPr>
        <w:t xml:space="preserve">Endpoint /api/operacion/triage como fuente</w:t>
      </w:r>
    </w:p>
    <w:p>
      <w:r>
        <w:t xml:space="preserve"/>
      </w:r>
    </w:p>
    <w:p>
      <w:pPr>
        <w:spacing w:after="120"/>
      </w:pPr>
      <w:r>
        <w:rPr>
          <w:rFonts w:ascii="Arial" w:cs="Arial" w:eastAsia="Arial" w:hAnsi="Arial"/>
          <w:sz w:val="22"/>
          <w:szCs w:val="22"/>
        </w:rPr>
        <w:t xml:space="preserve">Todo esto pertenece a un contexto de diseño completamente diferente al del dashboard analítico y no debe mezclarse con él.</w:t>
      </w:r>
    </w:p>
    <w:p>
      <w:r>
        <w:br w:type="page"/>
      </w:r>
    </w:p>
    <w:p>
      <w:pPr>
        <w:pStyle w:val="Heading1"/>
        <w:spacing w:after="180" w:before="360"/>
      </w:pPr>
      <w:r>
        <w:rPr>
          <w:rFonts w:ascii="Arial" w:cs="Arial" w:eastAsia="Arial" w:hAnsi="Arial"/>
          <w:b/>
          <w:bCs/>
          <w:color w:val="0A3D62"/>
          <w:sz w:val="34"/>
          <w:szCs w:val="34"/>
        </w:rPr>
        <w:t xml:space="preserve">7. Jerarquía cognitiva del análisis agronómico</w:t>
      </w:r>
    </w:p>
    <w:p>
      <w:pPr>
        <w:spacing w:after="120"/>
      </w:pPr>
      <w:r>
        <w:rPr>
          <w:rFonts w:ascii="Arial" w:cs="Arial" w:eastAsia="Arial" w:hAnsi="Arial"/>
          <w:sz w:val="22"/>
          <w:szCs w:val="22"/>
        </w:rPr>
        <w:t xml:space="preserve">El dashboard analítico impone un flujo de lectura diferente al operacional. En lugar de alerta→triage→acción, el flujo 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Nivel</w:t>
            </w:r>
          </w:p>
        </w:tc>
        <w:tc>
          <w:tcPr>
            <w:tcW w:type="dxa" w:w="18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Tiempo objetivo</w:t>
            </w:r>
          </w:p>
        </w:tc>
        <w:tc>
          <w:tcPr>
            <w:tcW w:type="dxa" w:w="28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Sección</w:t>
            </w:r>
          </w:p>
        </w:tc>
        <w:tc>
          <w:tcPr>
            <w:tcW w:type="dxa" w:w="256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Pregunta que responde</w:t>
            </w:r>
          </w:p>
        </w:tc>
      </w:tr>
      <w:tr>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1 — Estado general</w:t>
            </w:r>
          </w:p>
        </w:tc>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&lt; 5 seg</w:t>
            </w:r>
          </w:p>
        </w:tc>
        <w:tc>
          <w:tcPr>
            <w:tcW w:type="dxa" w:w="2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KPI Grid (6 cards)</w:t>
            </w:r>
          </w:p>
        </w:tc>
        <w:tc>
          <w:tcPr>
            <w:tcW w:type="dxa" w:w="25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¿Cómo está el módulo en este momento?</w:t>
            </w:r>
          </w:p>
        </w:tc>
      </w:tr>
      <w:tr>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2 — Comportamiento hídrico</w:t>
            </w:r>
          </w:p>
        </w:tc>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&lt; 15 seg</w:t>
            </w:r>
          </w:p>
        </w:tc>
        <w:tc>
          <w:tcPr>
            <w:tcW w:type="dxa" w:w="2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Heatmap déficit + Pulso climático</w:t>
            </w:r>
          </w:p>
        </w:tc>
        <w:tc>
          <w:tcPr>
            <w:tcW w:type="dxa" w:w="25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¿Qué está pasando con el agua y el clima?</w:t>
            </w:r>
          </w:p>
        </w:tc>
      </w:tr>
      <w:tr>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3 — Eficiencia hídrica</w:t>
            </w:r>
          </w:p>
        </w:tc>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&lt; 30 seg</w:t>
            </w:r>
          </w:p>
        </w:tc>
        <w:tc>
          <w:tcPr>
            <w:tcW w:type="dxa" w:w="2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Consumo vs meta + Ahorro por cultivo</w:t>
            </w:r>
          </w:p>
        </w:tc>
        <w:tc>
          <w:tcPr>
            <w:tcW w:type="dxa" w:w="25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¿Estamos siendo eficientes? ¿Dónde más?</w:t>
            </w:r>
          </w:p>
        </w:tc>
      </w:tr>
      <w:tr>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4 — Inteligencia predictiva</w:t>
            </w:r>
          </w:p>
        </w:tc>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&lt; 60 seg</w:t>
            </w:r>
          </w:p>
        </w:tc>
        <w:tc>
          <w:tcPr>
            <w:tcW w:type="dxa" w:w="2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Riesgo agronómico + Forecast IA</w:t>
            </w:r>
          </w:p>
        </w:tc>
        <w:tc>
          <w:tcPr>
            <w:tcW w:type="dxa" w:w="25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¿Qué dicen los modelos sobre el cierre del ciclo?</w:t>
            </w:r>
          </w:p>
        </w:tc>
      </w:tr>
      <w:tr>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5 — Forecast estratégico</w:t>
            </w:r>
          </w:p>
        </w:tc>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&gt; 60 seg</w:t>
            </w:r>
          </w:p>
        </w:tc>
        <w:tc>
          <w:tcPr>
            <w:tcW w:type="dxa" w:w="2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GIS + Métricas predictivas</w:t>
            </w:r>
          </w:p>
        </w:tc>
        <w:tc>
          <w:tcPr>
            <w:tcW w:type="dxa" w:w="25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¿Dónde hay patrones espaciales de estrés?</w:t>
            </w:r>
          </w:p>
        </w:tc>
      </w:tr>
    </w:tbl>
    <w:p>
      <w:r>
        <w:t xml:space="preserve"/>
      </w:r>
    </w:p>
    <w:p>
      <w:pPr>
        <w:pStyle w:val="Heading2"/>
        <w:spacing w:after="120" w:before="280"/>
      </w:pPr>
      <w:r>
        <w:rPr>
          <w:rFonts w:ascii="Arial" w:cs="Arial" w:eastAsia="Arial" w:hAnsi="Arial"/>
          <w:b/>
          <w:bCs/>
          <w:color w:val="0F6CBD"/>
          <w:sz w:val="28"/>
          <w:szCs w:val="28"/>
        </w:rPr>
        <w:t xml:space="preserve">7.1 Anti-patrones de jerarquía que el dashboard v3 evita</w:t>
      </w:r>
    </w:p>
    <w:p>
      <w:pPr>
        <w:pStyle w:val="ListParagraph"/>
        <w:numPr>
          <w:ilvl w:val="0"/>
          <w:numId w:val="2"/>
        </w:numPr>
        <w:spacing w:after="80"/>
      </w:pPr>
      <w:r>
        <w:rPr>
          <w:rFonts w:ascii="Arial" w:cs="Arial" w:eastAsia="Arial" w:hAnsi="Arial"/>
          <w:sz w:val="22"/>
          <w:szCs w:val="22"/>
        </w:rPr>
        <w:t xml:space="preserve">KPI de ahorro $ en posición de alerta (como en v2) — es información de cierre, no de inicio.</w:t>
      </w:r>
    </w:p>
    <w:p>
      <w:pPr>
        <w:pStyle w:val="ListParagraph"/>
        <w:numPr>
          <w:ilvl w:val="0"/>
          <w:numId w:val="2"/>
        </w:numPr>
        <w:spacing w:after="80"/>
      </w:pPr>
      <w:r>
        <w:rPr>
          <w:rFonts w:ascii="Arial" w:cs="Arial" w:eastAsia="Arial" w:hAnsi="Arial"/>
          <w:sz w:val="22"/>
          <w:szCs w:val="22"/>
        </w:rPr>
        <w:t xml:space="preserve">Alertas de urgencia en la parte superior de la UI — elevan la ansiedad sin proporcionar contexto.</w:t>
      </w:r>
    </w:p>
    <w:p>
      <w:pPr>
        <w:pStyle w:val="ListParagraph"/>
        <w:numPr>
          <w:ilvl w:val="0"/>
          <w:numId w:val="2"/>
        </w:numPr>
        <w:spacing w:after="80"/>
      </w:pPr>
      <w:r>
        <w:rPr>
          <w:rFonts w:ascii="Arial" w:cs="Arial" w:eastAsia="Arial" w:hAnsi="Arial"/>
          <w:sz w:val="22"/>
          <w:szCs w:val="22"/>
        </w:rPr>
        <w:t xml:space="preserve">Aggregación sin drill-down — los KPIs van acompañados de sparklines que muestran la tendencia.</w:t>
      </w:r>
    </w:p>
    <w:p>
      <w:pPr>
        <w:pStyle w:val="ListParagraph"/>
        <w:numPr>
          <w:ilvl w:val="0"/>
          <w:numId w:val="2"/>
        </w:numPr>
        <w:spacing w:after="80"/>
      </w:pPr>
      <w:r>
        <w:rPr>
          <w:rFonts w:ascii="Arial" w:cs="Arial" w:eastAsia="Arial" w:hAnsi="Arial"/>
          <w:sz w:val="22"/>
          <w:szCs w:val="22"/>
        </w:rPr>
        <w:t xml:space="preserve">Información operativa mezclada con información analítica — confunde qué acción tomar.</w:t>
      </w:r>
    </w:p>
    <w:p>
      <w:pPr>
        <w:pStyle w:val="Heading2"/>
        <w:spacing w:after="120" w:before="280"/>
      </w:pPr>
      <w:r>
        <w:rPr>
          <w:rFonts w:ascii="Arial" w:cs="Arial" w:eastAsia="Arial" w:hAnsi="Arial"/>
          <w:b/>
          <w:bCs/>
          <w:color w:val="0F6CBD"/>
          <w:sz w:val="28"/>
          <w:szCs w:val="28"/>
        </w:rPr>
        <w:t xml:space="preserve">7.2 Flujo cognitivo del agrónomo</w:t>
      </w:r>
    </w:p>
    <w:p>
      <w:pPr>
        <w:spacing w:after="120"/>
      </w:pPr>
      <w:r>
        <w:rPr>
          <w:rFonts w:ascii="Arial" w:cs="Arial" w:eastAsia="Arial" w:hAnsi="Arial"/>
          <w:sz w:val="22"/>
          <w:szCs w:val="22"/>
        </w:rPr>
        <w:t xml:space="preserve">A diferencia del técnico de riego (que usa el dashboard para decidir qué hacer en las próximas 3 horas), el agrónomo lo usa para:</w:t>
      </w:r>
    </w:p>
    <w:p>
      <w:pPr>
        <w:pStyle w:val="ListParagraph"/>
        <w:numPr>
          <w:ilvl w:val="0"/>
          <w:numId w:val="3"/>
        </w:numPr>
        <w:spacing w:after="80"/>
      </w:pPr>
      <w:r>
        <w:rPr>
          <w:rFonts w:ascii="Arial" w:cs="Arial" w:eastAsia="Arial" w:hAnsi="Arial"/>
          <w:sz w:val="22"/>
          <w:szCs w:val="22"/>
        </w:rPr>
        <w:t xml:space="preserve">Revisar el estado semanal del módulo (KPI Overview).</w:t>
      </w:r>
    </w:p>
    <w:p>
      <w:pPr>
        <w:pStyle w:val="ListParagraph"/>
        <w:numPr>
          <w:ilvl w:val="0"/>
          <w:numId w:val="3"/>
        </w:numPr>
        <w:spacing w:after="80"/>
      </w:pPr>
      <w:r>
        <w:rPr>
          <w:rFonts w:ascii="Arial" w:cs="Arial" w:eastAsia="Arial" w:hAnsi="Arial"/>
          <w:sz w:val="22"/>
          <w:szCs w:val="22"/>
        </w:rPr>
        <w:t xml:space="preserve">Entender tendencias de consumo y déficit (Heatmap + Pulso).</w:t>
      </w:r>
    </w:p>
    <w:p>
      <w:pPr>
        <w:pStyle w:val="ListParagraph"/>
        <w:numPr>
          <w:ilvl w:val="0"/>
          <w:numId w:val="3"/>
        </w:numPr>
        <w:spacing w:after="80"/>
      </w:pPr>
      <w:r>
        <w:rPr>
          <w:rFonts w:ascii="Arial" w:cs="Arial" w:eastAsia="Arial" w:hAnsi="Arial"/>
          <w:sz w:val="22"/>
          <w:szCs w:val="22"/>
        </w:rPr>
        <w:t xml:space="preserve">Evaluar eficiencia diferencial por cultivo (FAO-56 + Ahorro).</w:t>
      </w:r>
    </w:p>
    <w:p>
      <w:pPr>
        <w:pStyle w:val="ListParagraph"/>
        <w:numPr>
          <w:ilvl w:val="0"/>
          <w:numId w:val="3"/>
        </w:numPr>
        <w:spacing w:after="80"/>
      </w:pPr>
      <w:r>
        <w:rPr>
          <w:rFonts w:ascii="Arial" w:cs="Arial" w:eastAsia="Arial" w:hAnsi="Arial"/>
          <w:sz w:val="22"/>
          <w:szCs w:val="22"/>
        </w:rPr>
        <w:t xml:space="preserve">Analizar salud vegetativa y estrés espacial (NDVI + GIS).</w:t>
      </w:r>
    </w:p>
    <w:p>
      <w:pPr>
        <w:pStyle w:val="ListParagraph"/>
        <w:numPr>
          <w:ilvl w:val="0"/>
          <w:numId w:val="3"/>
        </w:numPr>
        <w:spacing w:after="80"/>
      </w:pPr>
      <w:r>
        <w:rPr>
          <w:rFonts w:ascii="Arial" w:cs="Arial" w:eastAsia="Arial" w:hAnsi="Arial"/>
          <w:sz w:val="22"/>
          <w:szCs w:val="22"/>
        </w:rPr>
        <w:t xml:space="preserve">Interpretar los modelos predictivos y ajustar estrategia (Metrics tab).</w:t>
      </w:r>
    </w:p>
    <w:p>
      <w:r>
        <w:t xml:space="preserve"/>
      </w:r>
    </w:p>
    <w:p>
      <w:pPr>
        <w:spacing w:after="120"/>
      </w:pPr>
      <w:r>
        <w:rPr>
          <w:rFonts w:ascii="Arial" w:cs="Arial" w:eastAsia="Arial" w:hAnsi="Arial"/>
          <w:sz w:val="22"/>
          <w:szCs w:val="22"/>
        </w:rPr>
        <w:t xml:space="preserve">Esta es una sesión de análisis (20-40 minutos semanales), no una sesión de decisión operativa (3-5 minutos diarios). El diseño del dashboard debe optimizar para la primera, no para la segunda.</w:t>
      </w:r>
    </w:p>
    <w:p>
      <w:r>
        <w:br w:type="page"/>
      </w:r>
    </w:p>
    <w:p>
      <w:pPr>
        <w:pStyle w:val="Heading1"/>
        <w:spacing w:after="180" w:before="360"/>
      </w:pPr>
      <w:r>
        <w:rPr>
          <w:rFonts w:ascii="Arial" w:cs="Arial" w:eastAsia="Arial" w:hAnsi="Arial"/>
          <w:b/>
          <w:bCs/>
          <w:color w:val="0A3D62"/>
          <w:sz w:val="34"/>
          <w:szCs w:val="34"/>
        </w:rPr>
        <w:t xml:space="preserve">8. Filosofía UX y dirección visual</w:t>
      </w:r>
    </w:p>
    <w:p>
      <w:pPr>
        <w:pStyle w:val="Heading2"/>
        <w:spacing w:after="120" w:before="280"/>
      </w:pPr>
      <w:r>
        <w:rPr>
          <w:rFonts w:ascii="Arial" w:cs="Arial" w:eastAsia="Arial" w:hAnsi="Arial"/>
          <w:b/>
          <w:bCs/>
          <w:color w:val="0F6CBD"/>
          <w:sz w:val="28"/>
          <w:szCs w:val="28"/>
        </w:rPr>
        <w:t xml:space="preserve">8.1 Lo que el dashboard SÍ debe ser</w:t>
      </w:r>
    </w:p>
    <w:p>
      <w:pPr>
        <w:pStyle w:val="ListParagraph"/>
        <w:numPr>
          <w:ilvl w:val="0"/>
          <w:numId w:val="2"/>
        </w:numPr>
        <w:spacing w:after="80"/>
      </w:pPr>
      <w:r>
        <w:rPr>
          <w:rFonts w:ascii="Arial" w:cs="Arial" w:eastAsia="Arial" w:hAnsi="Arial"/>
          <w:sz w:val="22"/>
          <w:szCs w:val="22"/>
        </w:rPr>
        <w:t xml:space="preserve">Una plataforma AgTech enterprise: profesional, moderna, especializada.</w:t>
      </w:r>
    </w:p>
    <w:p>
      <w:pPr>
        <w:pStyle w:val="ListParagraph"/>
        <w:numPr>
          <w:ilvl w:val="0"/>
          <w:numId w:val="2"/>
        </w:numPr>
        <w:spacing w:after="80"/>
      </w:pPr>
      <w:r>
        <w:rPr>
          <w:rFonts w:ascii="Arial" w:cs="Arial" w:eastAsia="Arial" w:hAnsi="Arial"/>
          <w:sz w:val="22"/>
          <w:szCs w:val="22"/>
        </w:rPr>
        <w:t xml:space="preserve">Un software GIS agrícola: GIS con estética satelital, no mapa de navegación.</w:t>
      </w:r>
    </w:p>
    <w:p>
      <w:pPr>
        <w:pStyle w:val="ListParagraph"/>
        <w:numPr>
          <w:ilvl w:val="0"/>
          <w:numId w:val="2"/>
        </w:numPr>
        <w:spacing w:after="80"/>
      </w:pPr>
      <w:r>
        <w:rPr>
          <w:rFonts w:ascii="Arial" w:cs="Arial" w:eastAsia="Arial" w:hAnsi="Arial"/>
          <w:sz w:val="22"/>
          <w:szCs w:val="22"/>
        </w:rPr>
        <w:t xml:space="preserve">Una hydric intelligence platform: datos hídricos con contexto agronómico.</w:t>
      </w:r>
    </w:p>
    <w:p>
      <w:pPr>
        <w:pStyle w:val="ListParagraph"/>
        <w:numPr>
          <w:ilvl w:val="0"/>
          <w:numId w:val="2"/>
        </w:numPr>
        <w:spacing w:after="80"/>
      </w:pPr>
      <w:r>
        <w:rPr>
          <w:rFonts w:ascii="Arial" w:cs="Arial" w:eastAsia="Arial" w:hAnsi="Arial"/>
          <w:sz w:val="22"/>
          <w:szCs w:val="22"/>
        </w:rPr>
        <w:t xml:space="preserve">Un climate analytics dashboard: clima presentado como driver del comportamiento agrícola.</w:t>
      </w:r>
    </w:p>
    <w:p>
      <w:pPr>
        <w:pStyle w:val="ListParagraph"/>
        <w:numPr>
          <w:ilvl w:val="0"/>
          <w:numId w:val="2"/>
        </w:numPr>
        <w:spacing w:after="80"/>
      </w:pPr>
      <w:r>
        <w:rPr>
          <w:rFonts w:ascii="Arial" w:cs="Arial" w:eastAsia="Arial" w:hAnsi="Arial"/>
          <w:sz w:val="22"/>
          <w:szCs w:val="22"/>
        </w:rPr>
        <w:t xml:space="preserve">Un sistema de inteligencia agrícola: los modelos apoyan el juicio, no lo reemplazan.</w:t>
      </w:r>
    </w:p>
    <w:p>
      <w:pPr>
        <w:pStyle w:val="Heading2"/>
        <w:spacing w:after="120" w:before="280"/>
      </w:pPr>
      <w:r>
        <w:rPr>
          <w:rFonts w:ascii="Arial" w:cs="Arial" w:eastAsia="Arial" w:hAnsi="Arial"/>
          <w:b/>
          <w:bCs/>
          <w:color w:val="0F6CBD"/>
          <w:sz w:val="28"/>
          <w:szCs w:val="28"/>
        </w:rPr>
        <w:t xml:space="preserve">8.2 Lo que el dashboard NO debe ser</w:t>
      </w:r>
    </w:p>
    <w:p>
      <w:pPr>
        <w:pStyle w:val="ListParagraph"/>
        <w:numPr>
          <w:ilvl w:val="0"/>
          <w:numId w:val="2"/>
        </w:numPr>
        <w:spacing w:after="80"/>
      </w:pPr>
      <w:r>
        <w:rPr>
          <w:rFonts w:ascii="Arial" w:cs="Arial" w:eastAsia="Arial" w:hAnsi="Arial"/>
          <w:sz w:val="22"/>
          <w:szCs w:val="22"/>
        </w:rPr>
        <w:t xml:space="preserve">Dashboard financiero (Power BI / Tableau) — evitar estética corporativa genérica.</w:t>
      </w:r>
    </w:p>
    <w:p>
      <w:pPr>
        <w:pStyle w:val="ListParagraph"/>
        <w:numPr>
          <w:ilvl w:val="0"/>
          <w:numId w:val="2"/>
        </w:numPr>
        <w:spacing w:after="80"/>
      </w:pPr>
      <w:r>
        <w:rPr>
          <w:rFonts w:ascii="Arial" w:cs="Arial" w:eastAsia="Arial" w:hAnsi="Arial"/>
          <w:sz w:val="22"/>
          <w:szCs w:val="22"/>
        </w:rPr>
        <w:t xml:space="preserve">Centro operativo industrial — sin density-first, sin tablas de triage.</w:t>
      </w:r>
    </w:p>
    <w:p>
      <w:pPr>
        <w:pStyle w:val="ListParagraph"/>
        <w:numPr>
          <w:ilvl w:val="0"/>
          <w:numId w:val="2"/>
        </w:numPr>
        <w:spacing w:after="80"/>
      </w:pPr>
      <w:r>
        <w:rPr>
          <w:rFonts w:ascii="Arial" w:cs="Arial" w:eastAsia="Arial" w:hAnsi="Arial"/>
          <w:sz w:val="22"/>
          <w:szCs w:val="22"/>
        </w:rPr>
        <w:t xml:space="preserve">Aplicación de gobierno o sector público — sin paletas apagadas ni tipografías de sistema.</w:t>
      </w:r>
    </w:p>
    <w:p>
      <w:pPr>
        <w:pStyle w:val="ListParagraph"/>
        <w:numPr>
          <w:ilvl w:val="0"/>
          <w:numId w:val="2"/>
        </w:numPr>
        <w:spacing w:after="80"/>
      </w:pPr>
      <w:r>
        <w:rPr>
          <w:rFonts w:ascii="Arial" w:cs="Arial" w:eastAsia="Arial" w:hAnsi="Arial"/>
          <w:sz w:val="22"/>
          <w:szCs w:val="22"/>
        </w:rPr>
        <w:t xml:space="preserve">Software de simulación científica — sin boxplots, violin plots ni visualizaciones estadísticas académicas.</w:t>
      </w:r>
    </w:p>
    <w:p>
      <w:pPr>
        <w:pStyle w:val="Heading2"/>
        <w:spacing w:after="120" w:before="280"/>
      </w:pPr>
      <w:r>
        <w:rPr>
          <w:rFonts w:ascii="Arial" w:cs="Arial" w:eastAsia="Arial" w:hAnsi="Arial"/>
          <w:b/>
          <w:bCs/>
          <w:color w:val="0F6CBD"/>
          <w:sz w:val="28"/>
          <w:szCs w:val="28"/>
        </w:rPr>
        <w:t xml:space="preserve">8.3 Paleta y tipografía (App.jsx)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Token</w:t>
            </w:r>
          </w:p>
        </w:tc>
        <w:tc>
          <w:tcPr>
            <w:tcW w:type="dxa" w:w="22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Valor hex</w:t>
            </w:r>
          </w:p>
        </w:tc>
        <w:tc>
          <w:tcPr>
            <w:tcW w:type="dxa" w:w="536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Uso principal</w:t>
            </w:r>
          </w:p>
        </w:tc>
      </w:tr>
      <w:tr>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primary</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#0F6CBD</w:t>
            </w:r>
          </w:p>
        </w:tc>
        <w:tc>
          <w:tcPr>
            <w:tcW w:type="dxa" w:w="53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Acciones primarias, gráficos de consumo, enlaces</w:t>
            </w:r>
          </w:p>
        </w:tc>
      </w:tr>
      <w:tr>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primaryDeep</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#0A3D62</w:t>
            </w:r>
          </w:p>
        </w:tc>
        <w:tc>
          <w:tcPr>
            <w:tcW w:type="dxa" w:w="53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Títulos principales, gradientes de fondo</w:t>
            </w:r>
          </w:p>
        </w:tc>
      </w:tr>
      <w:tr>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green / success</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#43B36B / #2FBF71</w:t>
            </w:r>
          </w:p>
        </w:tc>
        <w:tc>
          <w:tcPr>
            <w:tcW w:type="dxa" w:w="53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NDVI saludable, ahorros, dentro de meta</w:t>
            </w:r>
          </w:p>
        </w:tc>
      </w:tr>
      <w:tr>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warning</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#F5A623</w:t>
            </w:r>
          </w:p>
        </w:tc>
        <w:tc>
          <w:tcPr>
            <w:tcW w:type="dxa" w:w="53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ETc alto, Heat Stress, temperatura</w:t>
            </w:r>
          </w:p>
        </w:tc>
      </w:tr>
      <w:tr>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danger</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#E55C5C</w:t>
            </w:r>
          </w:p>
        </w:tc>
        <w:tc>
          <w:tcPr>
            <w:tcW w:type="dxa" w:w="53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Déficit severo, Yield Risk alto, fuera de meta</w:t>
            </w:r>
          </w:p>
        </w:tc>
      </w:tr>
      <w:tr>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bg</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#F5F7FC</w:t>
            </w:r>
          </w:p>
        </w:tc>
        <w:tc>
          <w:tcPr>
            <w:tcW w:type="dxa" w:w="53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Fondo de página</w:t>
            </w:r>
          </w:p>
        </w:tc>
      </w:tr>
      <w:tr>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surface</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#FFFFFF</w:t>
            </w:r>
          </w:p>
        </w:tc>
        <w:tc>
          <w:tcPr>
            <w:tcW w:type="dxa" w:w="53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Tarjetas principales</w:t>
            </w:r>
          </w:p>
        </w:tc>
      </w:tr>
      <w:tr>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surface2</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#FBFCFE</w:t>
            </w:r>
          </w:p>
        </w:tc>
        <w:tc>
          <w:tcPr>
            <w:tcW w:type="dxa" w:w="53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Chips y sub-paneles</w:t>
            </w:r>
          </w:p>
        </w:tc>
      </w:tr>
      <w:tr>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text</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#1F2D3D</w:t>
            </w:r>
          </w:p>
        </w:tc>
        <w:tc>
          <w:tcPr>
            <w:tcW w:type="dxa" w:w="53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Texto principal</w:t>
            </w:r>
          </w:p>
        </w:tc>
      </w:tr>
      <w:tr>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text2 / muted</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#6B7C93 / #A0AEC0</w:t>
            </w:r>
          </w:p>
        </w:tc>
        <w:tc>
          <w:tcPr>
            <w:tcW w:type="dxa" w:w="53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Etiquetas secundarias y valores de apoyo</w:t>
            </w:r>
          </w:p>
        </w:tc>
      </w:tr>
    </w:tbl>
    <w:p>
      <w:r>
        <w:t xml:space="preserve"/>
      </w:r>
    </w:p>
    <w:p>
      <w:pPr>
        <w:spacing w:after="120"/>
      </w:pPr>
      <w:r>
        <w:rPr>
          <w:rFonts w:ascii="Arial" w:cs="Arial" w:eastAsia="Arial" w:hAnsi="Arial"/>
          <w:sz w:val="22"/>
          <w:szCs w:val="22"/>
        </w:rPr>
        <w:t xml:space="preserve">Tipografía: Poppins (300/400/500/600/700) para UI general; JetBrains Mono (400/500/600) para valores numéricos, coordenadas, fechas. Importadas de Google Fonts en el GLOBAL_CSS del componente.</w:t>
      </w:r>
    </w:p>
    <w:p>
      <w:pPr>
        <w:pStyle w:val="Heading2"/>
        <w:spacing w:after="120" w:before="280"/>
      </w:pPr>
      <w:r>
        <w:rPr>
          <w:rFonts w:ascii="Arial" w:cs="Arial" w:eastAsia="Arial" w:hAnsi="Arial"/>
          <w:b/>
          <w:bCs/>
          <w:color w:val="0F6CBD"/>
          <w:sz w:val="28"/>
          <w:szCs w:val="28"/>
        </w:rPr>
        <w:t xml:space="preserve">8.4 Componentes visuales base (App.jsx)</w:t>
      </w:r>
    </w:p>
    <w:p>
      <w:pPr>
        <w:pStyle w:val="ListParagraph"/>
        <w:numPr>
          <w:ilvl w:val="0"/>
          <w:numId w:val="2"/>
        </w:numPr>
        <w:spacing w:after="80"/>
      </w:pPr>
      <w:r>
        <w:rPr>
          <w:rFonts w:ascii="Arial" w:cs="Arial" w:eastAsia="Arial" w:hAnsi="Arial"/>
          <w:sz w:val="22"/>
          <w:szCs w:val="22"/>
        </w:rPr>
        <w:t xml:space="preserve">mp-card: tarjeta con borde sutil, sombra líquida, border-radius 16px. Hover: sombra ampliada, transform sutil.</w:t>
      </w:r>
    </w:p>
    <w:p>
      <w:pPr>
        <w:pStyle w:val="ListParagraph"/>
        <w:numPr>
          <w:ilvl w:val="0"/>
          <w:numId w:val="2"/>
        </w:numPr>
        <w:spacing w:after="80"/>
      </w:pPr>
      <w:r>
        <w:rPr>
          <w:rFonts w:ascii="Arial" w:cs="Arial" w:eastAsia="Arial" w:hAnsi="Arial"/>
          <w:sz w:val="22"/>
          <w:szCs w:val="22"/>
        </w:rPr>
        <w:t xml:space="preserve">mp-section-title: etiqueta uppercase bold 11px con línea azul 14px a la izquierda.</w:t>
      </w:r>
    </w:p>
    <w:p>
      <w:pPr>
        <w:pStyle w:val="ListParagraph"/>
        <w:numPr>
          <w:ilvl w:val="0"/>
          <w:numId w:val="2"/>
        </w:numPr>
        <w:spacing w:after="80"/>
      </w:pPr>
      <w:r>
        <w:rPr>
          <w:rFonts w:ascii="Arial" w:cs="Arial" w:eastAsia="Arial" w:hAnsi="Arial"/>
          <w:sz w:val="22"/>
          <w:szCs w:val="22"/>
        </w:rPr>
        <w:t xml:space="preserve">MicroSpark: sparkline SVG inline 70×24px con área bajo la curva semitransparente.</w:t>
      </w:r>
    </w:p>
    <w:p>
      <w:pPr>
        <w:pStyle w:val="ListParagraph"/>
        <w:numPr>
          <w:ilvl w:val="0"/>
          <w:numId w:val="2"/>
        </w:numPr>
        <w:spacing w:after="80"/>
      </w:pPr>
      <w:r>
        <w:rPr>
          <w:rFonts w:ascii="Arial" w:cs="Arial" w:eastAsia="Arial" w:hAnsi="Arial"/>
          <w:sz w:val="22"/>
          <w:szCs w:val="22"/>
        </w:rPr>
        <w:t xml:space="preserve">ClimateSpark: sparkline SVG con gradiente, más grande (140×44px), para pulso climático.</w:t>
      </w:r>
    </w:p>
    <w:p>
      <w:pPr>
        <w:pStyle w:val="ListParagraph"/>
        <w:numPr>
          <w:ilvl w:val="0"/>
          <w:numId w:val="2"/>
        </w:numPr>
        <w:spacing w:after="80"/>
      </w:pPr>
      <w:r>
        <w:rPr>
          <w:rFonts w:ascii="Arial" w:cs="Arial" w:eastAsia="Arial" w:hAnsi="Arial"/>
          <w:sz w:val="22"/>
          <w:szCs w:val="22"/>
        </w:rPr>
        <w:t xml:space="preserve">PredictiveLine: gráfico de línea suavizada 380×130px con delta de tendencia.</w:t>
      </w:r>
    </w:p>
    <w:p>
      <w:pPr>
        <w:pStyle w:val="ListParagraph"/>
        <w:numPr>
          <w:ilvl w:val="0"/>
          <w:numId w:val="2"/>
        </w:numPr>
        <w:spacing w:after="80"/>
      </w:pPr>
      <w:r>
        <w:rPr>
          <w:rFonts w:ascii="Arial" w:cs="Arial" w:eastAsia="Arial" w:hAnsi="Arial"/>
          <w:sz w:val="22"/>
          <w:szCs w:val="22"/>
        </w:rPr>
        <w:t xml:space="preserve">PredictiveBars: barras horizontales SVG 380×130px, etiquetas izquierda, valores al interior.</w:t>
      </w:r>
    </w:p>
    <w:p>
      <w:r>
        <w:br w:type="page"/>
      </w:r>
    </w:p>
    <w:p>
      <w:pPr>
        <w:pStyle w:val="Heading1"/>
        <w:spacing w:after="180" w:before="360"/>
      </w:pPr>
      <w:r>
        <w:rPr>
          <w:rFonts w:ascii="Arial" w:cs="Arial" w:eastAsia="Arial" w:hAnsi="Arial"/>
          <w:b/>
          <w:bCs/>
          <w:color w:val="0A3D62"/>
          <w:sz w:val="34"/>
          <w:szCs w:val="34"/>
        </w:rPr>
        <w:t xml:space="preserve">9. Implementación frontend</w:t>
      </w:r>
    </w:p>
    <w:p>
      <w:pPr>
        <w:spacing w:after="120"/>
      </w:pPr>
      <w:r>
        <w:rPr>
          <w:rFonts w:ascii="Arial" w:cs="Arial" w:eastAsia="Arial" w:hAnsi="Arial"/>
          <w:sz w:val="22"/>
          <w:szCs w:val="22"/>
        </w:rPr>
        <w:t xml:space="preserve">App.jsx es la implementación de referencia. Este capítulo documenta qué cambia en el stack actual del proyecto para incorporar el nuevo dashboard.</w:t>
      </w:r>
    </w:p>
    <w:p>
      <w:pPr>
        <w:pStyle w:val="Heading2"/>
        <w:spacing w:after="120" w:before="280"/>
      </w:pPr>
      <w:r>
        <w:rPr>
          <w:rFonts w:ascii="Arial" w:cs="Arial" w:eastAsia="Arial" w:hAnsi="Arial"/>
          <w:b/>
          <w:bCs/>
          <w:color w:val="0F6CBD"/>
          <w:sz w:val="28"/>
          <w:szCs w:val="28"/>
        </w:rPr>
        <w:t xml:space="preserve">9.1 Estado actual en el stack MILPÍN</w:t>
      </w:r>
    </w:p>
    <w:p>
      <w:pPr>
        <w:spacing w:after="120"/>
      </w:pPr>
      <w:r>
        <w:rPr>
          <w:rFonts w:ascii="Arial" w:cs="Arial" w:eastAsia="Arial" w:hAnsi="Arial"/>
          <w:sz w:val="22"/>
          <w:szCs w:val="22"/>
        </w:rPr>
        <w:t xml:space="preserve">El stack actual (según CLAUDE.md) usa vanilla JavaScript sin bundler. App.jsx es un componente React que requiere Vite o un bundler equivalente para ejecutarse. Esta es la principal brecha de integración.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4460"/>
      </w:tblGrid>
      <w:tr>
        <w:tc>
          <w:tcPr>
            <w:tcW w:type="dxa" w:w="18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Componente</w:t>
            </w:r>
          </w:p>
        </w:tc>
        <w:tc>
          <w:tcPr>
            <w:tcW w:type="dxa" w:w="31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En App.jsx (referencia)</w:t>
            </w:r>
          </w:p>
        </w:tc>
        <w:tc>
          <w:tcPr>
            <w:tcW w:type="dxa" w:w="446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En stack actual (vanilla JS)</w:t>
            </w:r>
          </w:p>
        </w:tc>
      </w:tr>
      <w:tr>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Framework</w:t>
            </w:r>
          </w:p>
        </w:tc>
        <w:tc>
          <w:tcPr>
            <w:tcW w:type="dxa" w:w="31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React (hooks, JSX)</w:t>
            </w:r>
          </w:p>
        </w:tc>
        <w:tc>
          <w:tcPr>
            <w:tcW w:type="dxa" w:w="44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Vanilla JS + IIFE namespace global (BI)</w:t>
            </w:r>
          </w:p>
        </w:tc>
      </w:tr>
      <w:tr>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Bundler</w:t>
            </w:r>
          </w:p>
        </w:tc>
        <w:tc>
          <w:tcPr>
            <w:tcW w:type="dxa" w:w="31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Vite implícito</w:t>
            </w:r>
          </w:p>
        </w:tc>
        <w:tc>
          <w:tcPr>
            <w:tcW w:type="dxa" w:w="44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Sin bundler (CDN directamente en index.html)</w:t>
            </w:r>
          </w:p>
        </w:tc>
      </w:tr>
      <w:tr>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CSS</w:t>
            </w:r>
          </w:p>
        </w:tc>
        <w:tc>
          <w:tcPr>
            <w:tcW w:type="dxa" w:w="31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Inline styles + GLOBAL_CSS inyectado en &lt;head&gt;</w:t>
            </w:r>
          </w:p>
        </w:tc>
        <w:tc>
          <w:tcPr>
            <w:tcW w:type="dxa" w:w="44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styles.css externo</w:t>
            </w:r>
          </w:p>
        </w:tc>
      </w:tr>
      <w:tr>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SVG charts</w:t>
            </w:r>
          </w:p>
        </w:tc>
        <w:tc>
          <w:tcPr>
            <w:tcW w:type="dxa" w:w="31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SVG inline con JSX</w:t>
            </w:r>
          </w:p>
        </w:tc>
        <w:tc>
          <w:tcPr>
            <w:tcW w:type="dxa" w:w="44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SVG inline con document.createElementNS</w:t>
            </w:r>
          </w:p>
        </w:tc>
      </w:tr>
      <w:tr>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Data</w:t>
            </w:r>
          </w:p>
        </w:tc>
        <w:tc>
          <w:tcPr>
            <w:tcW w:type="dxa" w:w="31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Constantes hardcoded (KPI_DATA, FAO_TABLE, etc.)</w:t>
            </w:r>
          </w:p>
        </w:tc>
        <w:tc>
          <w:tcPr>
            <w:tcW w:type="dxa" w:w="44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Fetch a API FastAPI + fallback mock</w:t>
            </w:r>
          </w:p>
        </w:tc>
      </w:tr>
      <w:tr>
        <w:tc>
          <w:tcPr>
            <w:tcW w:type="dxa" w:w="1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Estado</w:t>
            </w:r>
          </w:p>
        </w:tc>
        <w:tc>
          <w:tcPr>
            <w:tcW w:type="dxa" w:w="31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useState / useEffect</w:t>
            </w:r>
          </w:p>
        </w:tc>
        <w:tc>
          <w:tcPr>
            <w:tcW w:type="dxa" w:w="44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Variables de módulo IIFE + eventos</w:t>
            </w:r>
          </w:p>
        </w:tc>
      </w:tr>
    </w:tbl>
    <w:p>
      <w:pPr>
        <w:pStyle w:val="Heading2"/>
        <w:spacing w:after="120" w:before="280"/>
      </w:pPr>
      <w:r>
        <w:rPr>
          <w:rFonts w:ascii="Arial" w:cs="Arial" w:eastAsia="Arial" w:hAnsi="Arial"/>
          <w:b/>
          <w:bCs/>
          <w:color w:val="0F6CBD"/>
          <w:sz w:val="28"/>
          <w:szCs w:val="28"/>
        </w:rPr>
        <w:t xml:space="preserve">9.2 Estrategia de migración</w:t>
      </w:r>
    </w:p>
    <w:p>
      <w:pPr>
        <w:spacing w:after="120"/>
      </w:pPr>
      <w:r>
        <w:rPr>
          <w:rFonts w:ascii="Arial" w:cs="Arial" w:eastAsia="Arial" w:hAnsi="Arial"/>
          <w:sz w:val="22"/>
          <w:szCs w:val="22"/>
        </w:rPr>
        <w:t xml:space="preserve">Hay dos caminos para incorporar App.jsx al sistema:</w:t>
      </w:r>
    </w:p>
    <w:p>
      <w:r>
        <w:t xml:space="preserve"/>
      </w:r>
    </w:p>
    <w:p>
      <w:pPr>
        <w:pStyle w:val="Heading3"/>
        <w:spacing w:after="100" w:before="220"/>
      </w:pPr>
      <w:r>
        <w:rPr>
          <w:rFonts w:ascii="Arial" w:cs="Arial" w:eastAsia="Arial" w:hAnsi="Arial"/>
          <w:b/>
          <w:bCs/>
          <w:color w:val="1F2D3D"/>
          <w:sz w:val="24"/>
          <w:szCs w:val="24"/>
        </w:rPr>
        <w:t xml:space="preserve">Opción A: Mantener vanilla JS, portear componentes manualmente (recomendada a corto plazo)</w:t>
      </w:r>
    </w:p>
    <w:p>
      <w:pPr>
        <w:spacing w:after="120"/>
      </w:pPr>
      <w:r>
        <w:rPr>
          <w:rFonts w:ascii="Arial" w:cs="Arial" w:eastAsia="Arial" w:hAnsi="Arial"/>
          <w:sz w:val="22"/>
          <w:szCs w:val="22"/>
        </w:rPr>
        <w:t xml:space="preserve">Traducir cada componente de App.jsx a funciones JavaScript puras que renderizan SVG/HTML sin JSX. Mantiene la consistencia con el stack actual y no introduce Vite.</w:t>
      </w:r>
    </w:p>
    <w:p>
      <w:pPr>
        <w:spacing w:after="120"/>
      </w:pPr>
      <w:r>
        <w:rPr>
          <w:rFonts w:ascii="Arial" w:cs="Arial" w:eastAsia="Arial" w:hAnsi="Arial"/>
          <w:sz w:val="22"/>
          <w:szCs w:val="22"/>
        </w:rPr>
        <w:t xml:space="preserve">Costo: ~5 días de trabajo. Ventaja: sin cambio de arquitectura, sin riesgo de ruptura.</w:t>
      </w:r>
    </w:p>
    <w:p>
      <w:r>
        <w:t xml:space="preserve"/>
      </w:r>
    </w:p>
    <w:p>
      <w:pPr>
        <w:pStyle w:val="Heading3"/>
        <w:spacing w:after="100" w:before="220"/>
      </w:pPr>
      <w:r>
        <w:rPr>
          <w:rFonts w:ascii="Arial" w:cs="Arial" w:eastAsia="Arial" w:hAnsi="Arial"/>
          <w:b/>
          <w:bCs/>
          <w:color w:val="1F2D3D"/>
          <w:sz w:val="24"/>
          <w:szCs w:val="24"/>
        </w:rPr>
        <w:t xml:space="preserve">Opción B: Integrar Vite + React para el tab Dashboard</w:t>
      </w:r>
    </w:p>
    <w:p>
      <w:pPr>
        <w:spacing w:after="120"/>
      </w:pPr>
      <w:r>
        <w:rPr>
          <w:rFonts w:ascii="Arial" w:cs="Arial" w:eastAsia="Arial" w:hAnsi="Arial"/>
          <w:sz w:val="22"/>
          <w:szCs w:val="22"/>
        </w:rPr>
        <w:t xml:space="preserve">Introducir Vite solo para el componente del dashboard (micro-frontend). El resto del stack se mantiene en vanilla JS. El tab Dashboard carga desde /dashboard/ como una ruta independiente.</w:t>
      </w:r>
    </w:p>
    <w:p>
      <w:pPr>
        <w:spacing w:after="120"/>
      </w:pPr>
      <w:r>
        <w:rPr>
          <w:rFonts w:ascii="Arial" w:cs="Arial" w:eastAsia="Arial" w:hAnsi="Arial"/>
          <w:sz w:val="22"/>
          <w:szCs w:val="22"/>
        </w:rPr>
        <w:t xml:space="preserve">Costo: ~3 días de setup + migración de datos. Ventaja: el código JSX es la fuente de verdad directamente.</w:t>
      </w:r>
    </w:p>
    <w:p>
      <w:pPr>
        <w:spacing w:after="120"/>
      </w:pPr>
      <w:r>
        <w:rPr>
          <w:rFonts w:ascii="Arial" w:cs="Arial" w:eastAsia="Arial" w:hAnsi="Arial"/>
          <w:sz w:val="22"/>
          <w:szCs w:val="22"/>
        </w:rPr>
        <w:t xml:space="preserve">Importante: antes de adoptar esta opción, verificar contra CLAUDE.md sección 3 (reglas duras). El stack prohíbe React en el frontend. Cualquier cambio requiere justificación explícita.</w:t>
      </w:r>
    </w:p>
    <w:p>
      <w:pPr>
        <w:pStyle w:val="Heading2"/>
        <w:spacing w:after="120" w:before="280"/>
      </w:pPr>
      <w:r>
        <w:rPr>
          <w:rFonts w:ascii="Arial" w:cs="Arial" w:eastAsia="Arial" w:hAnsi="Arial"/>
          <w:b/>
          <w:bCs/>
          <w:color w:val="0F6CBD"/>
          <w:sz w:val="28"/>
          <w:szCs w:val="28"/>
        </w:rPr>
        <w:t xml:space="preserve">9.3 Estructura de archivos afectados</w:t>
      </w:r>
    </w:p>
    <w:p>
      <w:pPr>
        <w:spacing w:after="120"/>
      </w:pPr>
      <w:r>
        <w:rPr>
          <w:rFonts w:ascii="Arial" w:cs="Arial" w:eastAsia="Arial" w:hAnsi="Arial"/>
          <w:sz w:val="22"/>
          <w:szCs w:val="22"/>
        </w:rPr>
        <w:t xml:space="preserve">Para la Opción A (porteo vanilla JS):</w:t>
      </w:r>
    </w:p>
    <w:p>
      <w:pPr>
        <w:pStyle w:val="ListParagraph"/>
        <w:numPr>
          <w:ilvl w:val="0"/>
          <w:numId w:val="2"/>
        </w:numPr>
        <w:spacing w:after="80"/>
      </w:pPr>
      <w:r>
        <w:rPr>
          <w:rFonts w:ascii="Arial" w:cs="Arial" w:eastAsia="Arial" w:hAnsi="Arial"/>
          <w:sz w:val="22"/>
          <w:szCs w:val="22"/>
        </w:rPr>
        <w:t xml:space="preserve">frontend/src/bi_dashboard.js — reemplazar contenido por nuevo módulo analítico</w:t>
      </w:r>
    </w:p>
    <w:p>
      <w:pPr>
        <w:pStyle w:val="ListParagraph"/>
        <w:numPr>
          <w:ilvl w:val="0"/>
          <w:numId w:val="2"/>
        </w:numPr>
        <w:spacing w:after="80"/>
      </w:pPr>
      <w:r>
        <w:rPr>
          <w:rFonts w:ascii="Arial" w:cs="Arial" w:eastAsia="Arial" w:hAnsi="Arial"/>
          <w:sz w:val="22"/>
          <w:szCs w:val="22"/>
        </w:rPr>
        <w:t xml:space="preserve">frontend/src/bi_overview.js — nuevo archivo, contiene OverviewTab equivalente</w:t>
      </w:r>
    </w:p>
    <w:p>
      <w:pPr>
        <w:pStyle w:val="ListParagraph"/>
        <w:numPr>
          <w:ilvl w:val="0"/>
          <w:numId w:val="2"/>
        </w:numPr>
        <w:spacing w:after="80"/>
      </w:pPr>
      <w:r>
        <w:rPr>
          <w:rFonts w:ascii="Arial" w:cs="Arial" w:eastAsia="Arial" w:hAnsi="Arial"/>
          <w:sz w:val="22"/>
          <w:szCs w:val="22"/>
        </w:rPr>
        <w:t xml:space="preserve">frontend/src/bi_metrics.js — nuevo archivo, contiene MetricsTab equivalente</w:t>
      </w:r>
    </w:p>
    <w:p>
      <w:pPr>
        <w:pStyle w:val="ListParagraph"/>
        <w:numPr>
          <w:ilvl w:val="0"/>
          <w:numId w:val="2"/>
        </w:numPr>
        <w:spacing w:after="80"/>
      </w:pPr>
      <w:r>
        <w:rPr>
          <w:rFonts w:ascii="Arial" w:cs="Arial" w:eastAsia="Arial" w:hAnsi="Arial"/>
          <w:sz w:val="22"/>
          <w:szCs w:val="22"/>
        </w:rPr>
        <w:t xml:space="preserve">frontend/css/styles.css — agregar variables de paleta de App.jsx al final (sin romper existentes)</w:t>
      </w:r>
    </w:p>
    <w:p>
      <w:pPr>
        <w:pStyle w:val="ListParagraph"/>
        <w:numPr>
          <w:ilvl w:val="0"/>
          <w:numId w:val="2"/>
        </w:numPr>
        <w:spacing w:after="80"/>
      </w:pPr>
      <w:r>
        <w:rPr>
          <w:rFonts w:ascii="Arial" w:cs="Arial" w:eastAsia="Arial" w:hAnsi="Arial"/>
          <w:sz w:val="22"/>
          <w:szCs w:val="22"/>
        </w:rPr>
        <w:t xml:space="preserve">frontend/index.html — ajustar contenedor del tab #tab-bi para sub-tabs Overview / Metrics</w:t>
      </w:r>
    </w:p>
    <w:p>
      <w:pPr>
        <w:pStyle w:val="Heading2"/>
        <w:spacing w:after="120" w:before="280"/>
      </w:pPr>
      <w:r>
        <w:rPr>
          <w:rFonts w:ascii="Arial" w:cs="Arial" w:eastAsia="Arial" w:hAnsi="Arial"/>
          <w:b/>
          <w:bCs/>
          <w:color w:val="0F6CBD"/>
          <w:sz w:val="28"/>
          <w:szCs w:val="28"/>
        </w:rPr>
        <w:t xml:space="preserve">9.4 Conexión a datos reales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80"/>
        <w:gridCol w:w="2280"/>
      </w:tblGrid>
      <w:tr>
        <w:tc>
          <w:tcPr>
            <w:tcW w:type="dxa" w:w="20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Widget</w:t>
            </w:r>
          </w:p>
        </w:tc>
        <w:tc>
          <w:tcPr>
            <w:tcW w:type="dxa" w:w="22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Estado actual</w:t>
            </w:r>
          </w:p>
        </w:tc>
        <w:tc>
          <w:tcPr>
            <w:tcW w:type="dxa" w:w="288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Endpoint necesario</w:t>
            </w:r>
          </w:p>
        </w:tc>
        <w:tc>
          <w:tcPr>
            <w:tcW w:type="dxa" w:w="228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Prioridad</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KPI Grid</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Sintético (KPI_DATA)</w:t>
            </w:r>
          </w:p>
        </w:tc>
        <w:tc>
          <w:tcPr>
            <w:tcW w:type="dxa" w:w="28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/api/dashboard/kpi-summary</w:t>
            </w:r>
          </w:p>
        </w:tc>
        <w:tc>
          <w:tcPr>
            <w:tcW w:type="dxa" w:w="22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Alta</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Heatmap déficit</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Sintético (HEATMAP_7D)</w:t>
            </w:r>
          </w:p>
        </w:tc>
        <w:tc>
          <w:tcPr>
            <w:tcW w:type="dxa" w:w="28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/api/parcelas/{id}/forecast (ya existe)</w:t>
            </w:r>
          </w:p>
        </w:tc>
        <w:tc>
          <w:tcPr>
            <w:tcW w:type="dxa" w:w="22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Media</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Pulso climático</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Sintético (CLIMATE_PULSE)</w:t>
            </w:r>
          </w:p>
        </w:tc>
        <w:tc>
          <w:tcPr>
            <w:tcW w:type="dxa" w:w="28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/api/parcelas/{id}/clima (ya existe)</w:t>
            </w:r>
          </w:p>
        </w:tc>
        <w:tc>
          <w:tcPr>
            <w:tcW w:type="dxa" w:w="22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Media</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Consumo acumulado</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Sintético (CONSUMPTION)</w:t>
            </w:r>
          </w:p>
        </w:tc>
        <w:tc>
          <w:tcPr>
            <w:tcW w:type="dxa" w:w="28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/api/modulo/consumo-semanal</w:t>
            </w:r>
          </w:p>
        </w:tc>
        <w:tc>
          <w:tcPr>
            <w:tcW w:type="dxa" w:w="22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Alta</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FAO-56 table</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Sintético (FAO_TABLE)</w:t>
            </w:r>
          </w:p>
        </w:tc>
        <w:tc>
          <w:tcPr>
            <w:tcW w:type="dxa" w:w="28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/api/cultivos/fao-summary</w:t>
            </w:r>
          </w:p>
        </w:tc>
        <w:tc>
          <w:tcPr>
            <w:tcW w:type="dxa" w:w="22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Alta</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NDVI Evolution</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Sintético (NDVI_EVOLUTION)</w:t>
            </w:r>
          </w:p>
        </w:tc>
        <w:tc>
          <w:tcPr>
            <w:tcW w:type="dxa" w:w="28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NASA POWER / Sentinel (Fase C)</w:t>
            </w:r>
          </w:p>
        </w:tc>
        <w:tc>
          <w:tcPr>
            <w:tcW w:type="dxa" w:w="22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Baja</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Water Savings</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Sintético (WATER_SAVINGS)</w:t>
            </w:r>
          </w:p>
        </w:tc>
        <w:tc>
          <w:tcPr>
            <w:tcW w:type="dxa" w:w="28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/api/dashboard/ahorro-por-cultivo</w:t>
            </w:r>
          </w:p>
        </w:tc>
        <w:tc>
          <w:tcPr>
            <w:tcW w:type="dxa" w:w="22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Media</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Cycle Progress</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Sintético (CYCLE_PROGRESS)</w:t>
            </w:r>
          </w:p>
        </w:tc>
        <w:tc>
          <w:tcPr>
            <w:tcW w:type="dxa" w:w="28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/api/ciclo/progress</w:t>
            </w:r>
          </w:p>
        </w:tc>
        <w:tc>
          <w:tcPr>
            <w:tcW w:type="dxa" w:w="22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Alta</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Risk Cards</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Sintético (RISK_CARDS)</w:t>
            </w:r>
          </w:p>
        </w:tc>
        <w:tc>
          <w:tcPr>
            <w:tcW w:type="dxa" w:w="28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ml/inference/ (Fase B)</w:t>
            </w:r>
          </w:p>
        </w:tc>
        <w:tc>
          <w:tcPr>
            <w:tcW w:type="dxa" w:w="22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Baja</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Forecast Card</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Sintético</w:t>
            </w:r>
          </w:p>
        </w:tc>
        <w:tc>
          <w:tcPr>
            <w:tcW w:type="dxa" w:w="28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eto_forecast.py + extrapolación (parcial)</w:t>
            </w:r>
          </w:p>
        </w:tc>
        <w:tc>
          <w:tcPr>
            <w:tcW w:type="dxa" w:w="22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Media</w:t>
            </w:r>
          </w:p>
        </w:tc>
      </w:tr>
      <w:tr>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GIS Map</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Pseudo-aleatorio determinístico</w:t>
            </w:r>
          </w:p>
        </w:tc>
        <w:tc>
          <w:tcPr>
            <w:tcW w:type="dxa" w:w="28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/api/parcelas/geojson (ya existe)</w:t>
            </w:r>
          </w:p>
        </w:tc>
        <w:tc>
          <w:tcPr>
            <w:tcW w:type="dxa" w:w="228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Media</w:t>
            </w:r>
          </w:p>
        </w:tc>
      </w:tr>
    </w:tbl>
    <w:p>
      <w:r>
        <w:br w:type="page"/>
      </w:r>
    </w:p>
    <w:p>
      <w:pPr>
        <w:pStyle w:val="Heading1"/>
        <w:spacing w:after="180" w:before="360"/>
      </w:pPr>
      <w:r>
        <w:rPr>
          <w:rFonts w:ascii="Arial" w:cs="Arial" w:eastAsia="Arial" w:hAnsi="Arial"/>
          <w:b/>
          <w:bCs/>
          <w:color w:val="0A3D62"/>
          <w:sz w:val="34"/>
          <w:szCs w:val="34"/>
        </w:rPr>
        <w:t xml:space="preserve">10. Estados vacíos en modo analítico</w:t>
      </w:r>
    </w:p>
    <w:p>
      <w:pPr>
        <w:spacing w:after="120"/>
      </w:pPr>
      <w:r>
        <w:rPr>
          <w:rFonts w:ascii="Arial" w:cs="Arial" w:eastAsia="Arial" w:hAnsi="Arial"/>
          <w:sz w:val="22"/>
          <w:szCs w:val="22"/>
        </w:rPr>
        <w:t xml:space="preserve">En un dashboard analítico, los estados vacíos comunican información, no ausencia. La diferencia con el dashboard operacional es el tono: menos urgencia, más orientación.</w:t>
      </w:r>
    </w:p>
    <w:p>
      <w:r>
        <w:t xml:space="preserve"/>
      </w:r>
    </w:p>
    <w:p>
      <w:pPr>
        <w:pStyle w:val="Heading2"/>
        <w:spacing w:after="120" w:before="280"/>
      </w:pPr>
      <w:r>
        <w:rPr>
          <w:rFonts w:ascii="Arial" w:cs="Arial" w:eastAsia="Arial" w:hAnsi="Arial"/>
          <w:b/>
          <w:bCs/>
          <w:color w:val="0F6CBD"/>
          <w:sz w:val="28"/>
          <w:szCs w:val="28"/>
        </w:rPr>
        <w:t xml:space="preserve">10.1 Sin datos de ciclo activo</w:t>
      </w:r>
    </w:p>
    <w:p>
      <w:pPr>
        <w:spacing w:after="120"/>
      </w:pPr>
      <w:r>
        <w:rPr>
          <w:rFonts w:ascii="Arial" w:cs="Arial" w:eastAsia="Arial" w:hAnsi="Arial"/>
          <w:sz w:val="22"/>
          <w:szCs w:val="22"/>
        </w:rPr>
        <w:t xml:space="preserve">Render en el tab Overview:</w:t>
      </w:r>
    </w:p>
    <w:p>
      <w:pPr>
        <w:spacing w:after="120"/>
        <w:ind w:left="720"/>
      </w:pPr>
      <w:r>
        <w:rPr>
          <w:rFonts w:ascii="Arial" w:cs="Arial" w:eastAsia="Arial" w:hAnsi="Arial"/>
          <w:i/>
          <w:iCs/>
          <w:color w:val="6B7C93"/>
          <w:sz w:val="20"/>
          <w:szCs w:val="20"/>
        </w:rPr>
        <w:t xml:space="preserve">No hay ciclo activo en Módulo 3. Para comenzar el análisis: registra una fecha de inicio en Admin → Ciclos, carga datos de parcelas en el tab Mapa, ejecuta el ETL de NASA POWER (Admin → ETL).</w:t>
      </w:r>
    </w:p>
    <w:p>
      <w:pPr>
        <w:pStyle w:val="Heading2"/>
        <w:spacing w:after="120" w:before="280"/>
      </w:pPr>
      <w:r>
        <w:rPr>
          <w:rFonts w:ascii="Arial" w:cs="Arial" w:eastAsia="Arial" w:hAnsi="Arial"/>
          <w:b/>
          <w:bCs/>
          <w:color w:val="0F6CBD"/>
          <w:sz w:val="28"/>
          <w:szCs w:val="28"/>
        </w:rPr>
        <w:t xml:space="preserve">10.2 Sin suficientes datos históricos para forecast</w:t>
      </w:r>
    </w:p>
    <w:p>
      <w:pPr>
        <w:spacing w:after="120"/>
      </w:pPr>
      <w:r>
        <w:rPr>
          <w:rFonts w:ascii="Arial" w:cs="Arial" w:eastAsia="Arial" w:hAnsi="Arial"/>
          <w:sz w:val="22"/>
          <w:szCs w:val="22"/>
        </w:rPr>
        <w:t xml:space="preserve">El modelo Ridge Regression (eto_forecast.py) requiere mínimo 60 registros diarios para producir un forecast confiable. Si hay menos:</w:t>
      </w:r>
    </w:p>
    <w:p>
      <w:pPr>
        <w:pStyle w:val="ListParagraph"/>
        <w:numPr>
          <w:ilvl w:val="0"/>
          <w:numId w:val="2"/>
        </w:numPr>
        <w:spacing w:after="80"/>
      </w:pPr>
      <w:r>
        <w:rPr>
          <w:rFonts w:ascii="Arial" w:cs="Arial" w:eastAsia="Arial" w:hAnsi="Arial"/>
          <w:sz w:val="22"/>
          <w:szCs w:val="22"/>
        </w:rPr>
        <w:t xml:space="preserve">Los widgets de forecast muestran: "Proyección disponible a partir de 4 semanas de operación".</w:t>
      </w:r>
    </w:p>
    <w:p>
      <w:pPr>
        <w:pStyle w:val="ListParagraph"/>
        <w:numPr>
          <w:ilvl w:val="0"/>
          <w:numId w:val="2"/>
        </w:numPr>
        <w:spacing w:after="80"/>
      </w:pPr>
      <w:r>
        <w:rPr>
          <w:rFonts w:ascii="Arial" w:cs="Arial" w:eastAsia="Arial" w:hAnsi="Arial"/>
          <w:sz w:val="22"/>
          <w:szCs w:val="22"/>
        </w:rPr>
        <w:t xml:space="preserve">El KPI de cumplimiento muestra el valor real parcial sin proyección.</w:t>
      </w:r>
    </w:p>
    <w:p>
      <w:pPr>
        <w:pStyle w:val="ListParagraph"/>
        <w:numPr>
          <w:ilvl w:val="0"/>
          <w:numId w:val="2"/>
        </w:numPr>
        <w:spacing w:after="80"/>
      </w:pPr>
      <w:r>
        <w:rPr>
          <w:rFonts w:ascii="Arial" w:cs="Arial" w:eastAsia="Arial" w:hAnsi="Arial"/>
          <w:sz w:val="22"/>
          <w:szCs w:val="22"/>
        </w:rPr>
        <w:t xml:space="preserve">El chip de estado del ciclo dice "Sin datos suficientes para forecast" en gris (no error).</w:t>
      </w:r>
    </w:p>
    <w:p>
      <w:pPr>
        <w:pStyle w:val="Heading2"/>
        <w:spacing w:after="120" w:before="280"/>
      </w:pPr>
      <w:r>
        <w:rPr>
          <w:rFonts w:ascii="Arial" w:cs="Arial" w:eastAsia="Arial" w:hAnsi="Arial"/>
          <w:b/>
          <w:bCs/>
          <w:color w:val="0F6CBD"/>
          <w:sz w:val="28"/>
          <w:szCs w:val="28"/>
        </w:rPr>
        <w:t xml:space="preserve">10.3 Sin datos de NDVI (caso normal actualmente)</w:t>
      </w:r>
    </w:p>
    <w:p>
      <w:pPr>
        <w:spacing w:after="120"/>
      </w:pPr>
      <w:r>
        <w:rPr>
          <w:rFonts w:ascii="Arial" w:cs="Arial" w:eastAsia="Arial" w:hAnsi="Arial"/>
          <w:sz w:val="22"/>
          <w:szCs w:val="22"/>
        </w:rPr>
        <w:t xml:space="preserve">El NDVI real (Sentinel-2A) no está integrado en la Fase A. El estado vacío correcto:</w:t>
      </w:r>
    </w:p>
    <w:p>
      <w:pPr>
        <w:pStyle w:val="ListParagraph"/>
        <w:numPr>
          <w:ilvl w:val="0"/>
          <w:numId w:val="2"/>
        </w:numPr>
        <w:spacing w:after="80"/>
      </w:pPr>
      <w:r>
        <w:rPr>
          <w:rFonts w:ascii="Arial" w:cs="Arial" w:eastAsia="Arial" w:hAnsi="Arial"/>
          <w:sz w:val="22"/>
          <w:szCs w:val="22"/>
        </w:rPr>
        <w:t xml:space="preserve">Widget NDVI muestra datos sintéticos con disclaimer: "NDVI estimado — integración Sentinel-2A en Fase C".</w:t>
      </w:r>
    </w:p>
    <w:p>
      <w:pPr>
        <w:pStyle w:val="ListParagraph"/>
        <w:numPr>
          <w:ilvl w:val="0"/>
          <w:numId w:val="2"/>
        </w:numPr>
        <w:spacing w:after="80"/>
      </w:pPr>
      <w:r>
        <w:rPr>
          <w:rFonts w:ascii="Arial" w:cs="Arial" w:eastAsia="Arial" w:hAnsi="Arial"/>
          <w:sz w:val="22"/>
          <w:szCs w:val="22"/>
        </w:rPr>
        <w:t xml:space="preserve">El chip de NDVI en el KPI Grid lleva un asterisco indicando que es estimado.</w:t>
      </w:r>
    </w:p>
    <w:p>
      <w:pPr>
        <w:pStyle w:val="ListParagraph"/>
        <w:numPr>
          <w:ilvl w:val="0"/>
          <w:numId w:val="2"/>
        </w:numPr>
        <w:spacing w:after="80"/>
      </w:pPr>
      <w:r>
        <w:rPr>
          <w:rFonts w:ascii="Arial" w:cs="Arial" w:eastAsia="Arial" w:hAnsi="Arial"/>
          <w:sz w:val="22"/>
          <w:szCs w:val="22"/>
        </w:rPr>
        <w:t xml:space="preserve">No ocultar el widget — el dato sintético sirve como preview de lo que será cuando el dato real llegue.</w:t>
      </w:r>
    </w:p>
    <w:p>
      <w:pPr>
        <w:pStyle w:val="Heading2"/>
        <w:spacing w:after="120" w:before="280"/>
      </w:pPr>
      <w:r>
        <w:rPr>
          <w:rFonts w:ascii="Arial" w:cs="Arial" w:eastAsia="Arial" w:hAnsi="Arial"/>
          <w:b/>
          <w:bCs/>
          <w:color w:val="0F6CBD"/>
          <w:sz w:val="28"/>
          <w:szCs w:val="28"/>
        </w:rPr>
        <w:t xml:space="preserve">10.4 Estado "todo va bien" (caso ideal)</w:t>
      </w:r>
    </w:p>
    <w:p>
      <w:pPr>
        <w:spacing w:after="120"/>
      </w:pPr>
      <w:r>
        <w:rPr>
          <w:rFonts w:ascii="Arial" w:cs="Arial" w:eastAsia="Arial" w:hAnsi="Arial"/>
          <w:sz w:val="22"/>
          <w:szCs w:val="22"/>
        </w:rPr>
        <w:t xml:space="preserve">A diferencia del dashboard operacional, donde "todo bien" significa ausencia visible de alertas, en el dashboard analítico "todo bien" significa que los indicadores muestran tendencias positivas. El dashboard no debe sentirse vacío cuando todo está en parámetros — debe celebrar el buen estado con indicadores en verde y sin iconos de advertencia.</w:t>
      </w:r>
    </w:p>
    <w:p>
      <w:r>
        <w:br w:type="page"/>
      </w:r>
    </w:p>
    <w:p>
      <w:pPr>
        <w:pStyle w:val="Heading1"/>
        <w:spacing w:after="180" w:before="360"/>
      </w:pPr>
      <w:r>
        <w:rPr>
          <w:rFonts w:ascii="Arial" w:cs="Arial" w:eastAsia="Arial" w:hAnsi="Arial"/>
          <w:b/>
          <w:bCs/>
          <w:color w:val="0A3D62"/>
          <w:sz w:val="34"/>
          <w:szCs w:val="34"/>
        </w:rPr>
        <w:t xml:space="preserve">11. Métricas de éxito del nuevo dashboard</w:t>
      </w:r>
    </w:p>
    <w:p>
      <w:pPr>
        <w:spacing w:after="120"/>
      </w:pPr>
      <w:r>
        <w:rPr>
          <w:rFonts w:ascii="Arial" w:cs="Arial" w:eastAsia="Arial" w:hAnsi="Arial"/>
          <w:sz w:val="22"/>
          <w:szCs w:val="22"/>
        </w:rPr>
        <w:t xml:space="preserve">Las métricas de éxito del dashboard analítico son diferentes a las del dashboard operacional. No se mide tiempo-a-acción sino calidad de uso y adopción.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c>
          <w:tcPr>
            <w:tcW w:type="dxa" w:w="28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Métrica</w:t>
            </w:r>
          </w:p>
        </w:tc>
        <w:tc>
          <w:tcPr>
            <w:tcW w:type="dxa" w:w="20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Línea base</w:t>
            </w:r>
          </w:p>
        </w:tc>
        <w:tc>
          <w:tcPr>
            <w:tcW w:type="dxa" w:w="220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Meta post-rediseño</w:t>
            </w:r>
          </w:p>
        </w:tc>
        <w:tc>
          <w:tcPr>
            <w:tcW w:type="dxa" w:w="2360"/>
            <w:tcBorders>
              <w:top w:val="single" w:color="D8DFE9" w:sz="1"/>
              <w:left w:val="single" w:color="D8DFE9" w:sz="1"/>
              <w:bottom w:val="single" w:color="D8DFE9" w:sz="1"/>
              <w:right w:val="single" w:color="D8DFE9" w:sz="1"/>
            </w:tcBorders>
            <w:shd w:fill="D5E8F0" w:val="clear"/>
            <w:tcMar>
              <w:top w:type="dxa" w:w="80"/>
              <w:left w:type="dxa" w:w="120"/>
              <w:bottom w:type="dxa" w:w="80"/>
              <w:right w:type="dxa" w:w="120"/>
            </w:tcMar>
            <w:vAlign w:val="center"/>
          </w:tcPr>
          <w:p>
            <w:pPr>
              <w:jc w:val="left"/>
            </w:pPr>
            <w:r>
              <w:rPr>
                <w:rFonts w:ascii="Arial" w:cs="Arial" w:eastAsia="Arial" w:hAnsi="Arial"/>
                <w:b/>
                <w:bCs/>
                <w:color w:val="0A3D62"/>
                <w:sz w:val="18"/>
                <w:szCs w:val="18"/>
              </w:rPr>
              <w:t xml:space="preserve">Cómo se mide</w:t>
            </w:r>
          </w:p>
        </w:tc>
      </w:tr>
      <w:tr>
        <w:tc>
          <w:tcPr>
            <w:tcW w:type="dxa" w:w="2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Sesiones de análisis semanal por agrónomo</w:t>
            </w:r>
          </w:p>
        </w:tc>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Desconocido (dashboard no usado como analytics)</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&gt; 1 por semana</w:t>
            </w:r>
          </w:p>
        </w:tc>
        <w:tc>
          <w:tcPr>
            <w:tcW w:type="dxa" w:w="23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Server logs, event tracking</w:t>
            </w:r>
          </w:p>
        </w:tc>
      </w:tr>
      <w:tr>
        <w:tc>
          <w:tcPr>
            <w:tcW w:type="dxa" w:w="2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Tiempo promedio de sesión</w:t>
            </w:r>
          </w:p>
        </w:tc>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Estimado: &lt; 2 min (revisión rápida)</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15-30 min (sesión de análisis)</w:t>
            </w:r>
          </w:p>
        </w:tc>
        <w:tc>
          <w:tcPr>
            <w:tcW w:type="dxa" w:w="23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Session duration analytics</w:t>
            </w:r>
          </w:p>
        </w:tc>
      </w:tr>
      <w:tr>
        <w:tc>
          <w:tcPr>
            <w:tcW w:type="dxa" w:w="2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Tab Metrics visitado en sesión</w:t>
            </w:r>
          </w:p>
        </w:tc>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Inexistente</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&gt; 60% de sesiones</w:t>
            </w:r>
          </w:p>
        </w:tc>
        <w:tc>
          <w:tcPr>
            <w:tcW w:type="dxa" w:w="23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Tab switch event</w:t>
            </w:r>
          </w:p>
        </w:tc>
      </w:tr>
      <w:tr>
        <w:tc>
          <w:tcPr>
            <w:tcW w:type="dxa" w:w="2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GIS Intelligence map interactuado</w:t>
            </w:r>
          </w:p>
        </w:tc>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Inexistente</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&gt; 40% de sesiones</w:t>
            </w:r>
          </w:p>
        </w:tc>
        <w:tc>
          <w:tcPr>
            <w:tcW w:type="dxa" w:w="23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Hover/click events en celdas</w:t>
            </w:r>
          </w:p>
        </w:tc>
      </w:tr>
      <w:tr>
        <w:tc>
          <w:tcPr>
            <w:tcW w:type="dxa" w:w="2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NPS del agrónomo sobre el dashboard</w:t>
            </w:r>
          </w:p>
        </w:tc>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&gt; 7/10</w:t>
            </w:r>
          </w:p>
        </w:tc>
        <w:tc>
          <w:tcPr>
            <w:tcW w:type="dxa" w:w="23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Encuesta post-piloto</w:t>
            </w:r>
          </w:p>
        </w:tc>
      </w:tr>
      <w:tr>
        <w:tc>
          <w:tcPr>
            <w:tcW w:type="dxa" w:w="28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Adopción en reuniones de revisión agronómica</w:t>
            </w:r>
          </w:p>
        </w:tc>
        <w:tc>
          <w:tcPr>
            <w:tcW w:type="dxa" w:w="20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Desconocido</w:t>
            </w:r>
          </w:p>
        </w:tc>
        <w:tc>
          <w:tcPr>
            <w:tcW w:type="dxa" w:w="220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Dashboard presentado en &gt; 80% de reuniones semanales</w:t>
            </w:r>
          </w:p>
        </w:tc>
        <w:tc>
          <w:tcPr>
            <w:tcW w:type="dxa" w:w="2360"/>
            <w:tcBorders>
              <w:top w:val="single" w:color="D8DFE9" w:sz="1"/>
              <w:left w:val="single" w:color="D8DFE9" w:sz="1"/>
              <w:bottom w:val="single" w:color="D8DFE9" w:sz="1"/>
              <w:right w:val="single" w:color="D8DF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D3D"/>
                <w:sz w:val="19"/>
                <w:szCs w:val="19"/>
              </w:rPr>
              <w:t xml:space="preserve">Seguimiento cualitativo</w:t>
            </w:r>
          </w:p>
        </w:tc>
      </w:tr>
    </w:tbl>
    <w:p>
      <w:pPr>
        <w:pStyle w:val="Heading2"/>
        <w:spacing w:after="120" w:before="280"/>
      </w:pPr>
      <w:r>
        <w:rPr>
          <w:rFonts w:ascii="Arial" w:cs="Arial" w:eastAsia="Arial" w:hAnsi="Arial"/>
          <w:b/>
          <w:bCs/>
          <w:color w:val="0F6CBD"/>
          <w:sz w:val="28"/>
          <w:szCs w:val="28"/>
        </w:rPr>
        <w:t xml:space="preserve">11.1 Relación con la métrica de negocio principal</w:t>
      </w:r>
    </w:p>
    <w:p>
      <w:pPr>
        <w:spacing w:after="120"/>
      </w:pPr>
      <w:r>
        <w:rPr>
          <w:rFonts w:ascii="Arial" w:cs="Arial" w:eastAsia="Arial" w:hAnsi="Arial"/>
          <w:sz w:val="22"/>
          <w:szCs w:val="22"/>
        </w:rPr>
        <w:t xml:space="preserve">La meta declarada del proyecto es reducir consumo de 8,000 → 6,000 m³/ha/ciclo. El dashboard analítico no produce ese resultado directamente — las decisiones del técnico de riego sí. La cadena causal del dashboard analítico es diferente:</w:t>
      </w:r>
    </w:p>
    <w:p>
      <w:r>
        <w:t xml:space="preserve"/>
      </w:r>
    </w:p>
    <w:p>
      <w:pPr>
        <w:spacing w:after="120"/>
        <w:ind w:left="720"/>
      </w:pPr>
      <w:r>
        <w:rPr>
          <w:rFonts w:ascii="Arial" w:cs="Arial" w:eastAsia="Arial" w:hAnsi="Arial"/>
          <w:i/>
          <w:iCs/>
          <w:color w:val="0A3D62"/>
          <w:sz w:val="22"/>
          <w:szCs w:val="22"/>
        </w:rPr>
        <w:t xml:space="preserve">Dashboard analítico utilizado → Agrónomo detecta ineficiencias → Ajuste en parámetros FAO-56 o estrategia de riego → Decisión mejor calibrada del técnico → Menor consumo agregado al cierre del ciclo.</w:t>
      </w:r>
    </w:p>
    <w:p>
      <w:r>
        <w:t xml:space="preserve"/>
      </w:r>
    </w:p>
    <w:p>
      <w:pPr>
        <w:spacing w:after="120"/>
      </w:pPr>
      <w:r>
        <w:rPr>
          <w:rFonts w:ascii="Arial" w:cs="Arial" w:eastAsia="Arial" w:hAnsi="Arial"/>
          <w:sz w:val="22"/>
          <w:szCs w:val="22"/>
        </w:rPr>
        <w:t xml:space="preserve">La hipótesis razonable es que el dashboard analítico puede aportar entre 3% y 10% del ahorro total esperado. El resto depende de calibración FAO-56, capacitación del técnico e infraestructura de riego.</w:t>
      </w:r>
    </w:p>
    <w:p>
      <w:r>
        <w:br w:type="page"/>
      </w:r>
    </w:p>
    <w:p>
      <w:pPr>
        <w:pStyle w:val="Heading1"/>
        <w:spacing w:after="180" w:before="360"/>
      </w:pPr>
      <w:r>
        <w:rPr>
          <w:rFonts w:ascii="Arial" w:cs="Arial" w:eastAsia="Arial" w:hAnsi="Arial"/>
          <w:b/>
          <w:bCs/>
          <w:color w:val="0A3D62"/>
          <w:sz w:val="34"/>
          <w:szCs w:val="34"/>
        </w:rPr>
        <w:t xml:space="preserve">12. Deuda técnica conocida y próximos pasos</w:t>
      </w:r>
    </w:p>
    <w:p>
      <w:pPr>
        <w:pStyle w:val="Heading2"/>
        <w:spacing w:after="120" w:before="280"/>
      </w:pPr>
      <w:r>
        <w:rPr>
          <w:rFonts w:ascii="Arial" w:cs="Arial" w:eastAsia="Arial" w:hAnsi="Arial"/>
          <w:b/>
          <w:bCs/>
          <w:color w:val="0F6CBD"/>
          <w:sz w:val="28"/>
          <w:szCs w:val="28"/>
        </w:rPr>
        <w:t xml:space="preserve">12.1 Datos sintéticos pendientes de conectar</w:t>
      </w:r>
    </w:p>
    <w:p>
      <w:pPr>
        <w:spacing w:after="120"/>
      </w:pPr>
      <w:r>
        <w:rPr>
          <w:rFonts w:ascii="Arial" w:cs="Arial" w:eastAsia="Arial" w:hAnsi="Arial"/>
          <w:sz w:val="22"/>
          <w:szCs w:val="22"/>
        </w:rPr>
        <w:t xml:space="preserve">Todos los componentes de App.jsx funcionan con datos hardcoded. La prioridad de conexión a endpoints reales (ver sección 9.4):</w:t>
      </w:r>
    </w:p>
    <w:p>
      <w:pPr>
        <w:pStyle w:val="ListParagraph"/>
        <w:numPr>
          <w:ilvl w:val="0"/>
          <w:numId w:val="2"/>
        </w:numPr>
        <w:spacing w:after="80"/>
      </w:pPr>
      <w:r>
        <w:rPr>
          <w:rFonts w:ascii="Arial" w:cs="Arial" w:eastAsia="Arial" w:hAnsi="Arial"/>
          <w:sz w:val="22"/>
          <w:szCs w:val="22"/>
        </w:rPr>
        <w:t xml:space="preserve">Alta: KPI Grid, Consumo acumulado, FAO-56 table, Cycle Progress.</w:t>
      </w:r>
    </w:p>
    <w:p>
      <w:pPr>
        <w:pStyle w:val="ListParagraph"/>
        <w:numPr>
          <w:ilvl w:val="0"/>
          <w:numId w:val="2"/>
        </w:numPr>
        <w:spacing w:after="80"/>
      </w:pPr>
      <w:r>
        <w:rPr>
          <w:rFonts w:ascii="Arial" w:cs="Arial" w:eastAsia="Arial" w:hAnsi="Arial"/>
          <w:sz w:val="22"/>
          <w:szCs w:val="22"/>
        </w:rPr>
        <w:t xml:space="preserve">Media: Heatmap déficit, Pulso climático, Water Savings, GIS (geojson ya existe).</w:t>
      </w:r>
    </w:p>
    <w:p>
      <w:pPr>
        <w:pStyle w:val="ListParagraph"/>
        <w:numPr>
          <w:ilvl w:val="0"/>
          <w:numId w:val="2"/>
        </w:numPr>
        <w:spacing w:after="80"/>
      </w:pPr>
      <w:r>
        <w:rPr>
          <w:rFonts w:ascii="Arial" w:cs="Arial" w:eastAsia="Arial" w:hAnsi="Arial"/>
          <w:sz w:val="22"/>
          <w:szCs w:val="22"/>
        </w:rPr>
        <w:t xml:space="preserve">Baja (Fase B): Risk Cards (modelos ML), NDVI real (Sentinel-2A, Fase C).</w:t>
      </w:r>
    </w:p>
    <w:p>
      <w:pPr>
        <w:pStyle w:val="Heading2"/>
        <w:spacing w:after="120" w:before="280"/>
      </w:pPr>
      <w:r>
        <w:rPr>
          <w:rFonts w:ascii="Arial" w:cs="Arial" w:eastAsia="Arial" w:hAnsi="Arial"/>
          <w:b/>
          <w:bCs/>
          <w:color w:val="0F6CBD"/>
          <w:sz w:val="28"/>
          <w:szCs w:val="28"/>
        </w:rPr>
        <w:t xml:space="preserve">12.2 Endpoints nuevos requeridos</w:t>
      </w:r>
    </w:p>
    <w:p>
      <w:pPr>
        <w:pStyle w:val="ListParagraph"/>
        <w:numPr>
          <w:ilvl w:val="0"/>
          <w:numId w:val="2"/>
        </w:numPr>
        <w:spacing w:after="80"/>
      </w:pPr>
      <w:r>
        <w:rPr>
          <w:rFonts w:ascii="Arial" w:cs="Arial" w:eastAsia="Arial" w:hAnsi="Arial"/>
          <w:sz w:val="22"/>
          <w:szCs w:val="22"/>
        </w:rPr>
        <w:t xml:space="preserve">/api/dashboard/kpi-summary — agrega métricas del módulo en un solo endpoint (evitar N+1 calls).</w:t>
      </w:r>
    </w:p>
    <w:p>
      <w:pPr>
        <w:pStyle w:val="ListParagraph"/>
        <w:numPr>
          <w:ilvl w:val="0"/>
          <w:numId w:val="2"/>
        </w:numPr>
        <w:spacing w:after="80"/>
      </w:pPr>
      <w:r>
        <w:rPr>
          <w:rFonts w:ascii="Arial" w:cs="Arial" w:eastAsia="Arial" w:hAnsi="Arial"/>
          <w:sz w:val="22"/>
          <w:szCs w:val="22"/>
        </w:rPr>
        <w:t xml:space="preserve">/api/modulo/consumo-semanal — consumo acumulado promedio por semana del ciclo activo.</w:t>
      </w:r>
    </w:p>
    <w:p>
      <w:pPr>
        <w:pStyle w:val="ListParagraph"/>
        <w:numPr>
          <w:ilvl w:val="0"/>
          <w:numId w:val="2"/>
        </w:numPr>
        <w:spacing w:after="80"/>
      </w:pPr>
      <w:r>
        <w:rPr>
          <w:rFonts w:ascii="Arial" w:cs="Arial" w:eastAsia="Arial" w:hAnsi="Arial"/>
          <w:sz w:val="22"/>
          <w:szCs w:val="22"/>
        </w:rPr>
        <w:t xml:space="preserve">/api/dashboard/ahorro-por-cultivo — baseline vs actual por cultivo para el grafico de ahorro.</w:t>
      </w:r>
    </w:p>
    <w:p>
      <w:pPr>
        <w:pStyle w:val="ListParagraph"/>
        <w:numPr>
          <w:ilvl w:val="0"/>
          <w:numId w:val="2"/>
        </w:numPr>
        <w:spacing w:after="80"/>
      </w:pPr>
      <w:r>
        <w:rPr>
          <w:rFonts w:ascii="Arial" w:cs="Arial" w:eastAsia="Arial" w:hAnsi="Arial"/>
          <w:sz w:val="22"/>
          <w:szCs w:val="22"/>
        </w:rPr>
        <w:t xml:space="preserve">/api/ciclo/progress — estado del ciclo: semanas, porcentaje, forecast lineal, parcelas en meta.</w:t>
      </w:r>
    </w:p>
    <w:p>
      <w:pPr>
        <w:pStyle w:val="ListParagraph"/>
        <w:numPr>
          <w:ilvl w:val="0"/>
          <w:numId w:val="2"/>
        </w:numPr>
        <w:spacing w:after="80"/>
      </w:pPr>
      <w:r>
        <w:rPr>
          <w:rFonts w:ascii="Arial" w:cs="Arial" w:eastAsia="Arial" w:hAnsi="Arial"/>
          <w:sz w:val="22"/>
          <w:szCs w:val="22"/>
        </w:rPr>
        <w:t xml:space="preserve">/api/cultivos/fao-summary — ETc, Kc, déficit agregado por cultivo (ya puede derivarse de riego_api.py).</w:t>
      </w:r>
    </w:p>
    <w:p>
      <w:pPr>
        <w:pStyle w:val="Heading2"/>
        <w:spacing w:after="120" w:before="280"/>
      </w:pPr>
      <w:r>
        <w:rPr>
          <w:rFonts w:ascii="Arial" w:cs="Arial" w:eastAsia="Arial" w:hAnsi="Arial"/>
          <w:b/>
          <w:bCs/>
          <w:color w:val="0F6CBD"/>
          <w:sz w:val="28"/>
          <w:szCs w:val="28"/>
        </w:rPr>
        <w:t xml:space="preserve">12.3 Integración pendiente con módulos existentes</w:t>
      </w:r>
    </w:p>
    <w:p>
      <w:pPr>
        <w:pStyle w:val="ListParagraph"/>
        <w:numPr>
          <w:ilvl w:val="0"/>
          <w:numId w:val="2"/>
        </w:numPr>
        <w:spacing w:after="80"/>
      </w:pPr>
      <w:r>
        <w:rPr>
          <w:rFonts w:ascii="Arial" w:cs="Arial" w:eastAsia="Arial" w:hAnsi="Arial"/>
          <w:sz w:val="22"/>
          <w:szCs w:val="22"/>
        </w:rPr>
        <w:t xml:space="preserve">eto_forecast.py: el Ridge Regression ya existe, falta exponer su output en un endpoint consumible por el dashboard.</w:t>
      </w:r>
    </w:p>
    <w:p>
      <w:pPr>
        <w:pStyle w:val="ListParagraph"/>
        <w:numPr>
          <w:ilvl w:val="0"/>
          <w:numId w:val="2"/>
        </w:numPr>
        <w:spacing w:after="80"/>
      </w:pPr>
      <w:r>
        <w:rPr>
          <w:rFonts w:ascii="Arial" w:cs="Arial" w:eastAsia="Arial" w:hAnsi="Arial"/>
          <w:sz w:val="22"/>
          <w:szCs w:val="22"/>
        </w:rPr>
        <w:t xml:space="preserve">xgboost_riego.py (ml/inference/): los scores de riesgo (Yield Risk) requieren un pipeline de inferencia batch que aún no existe.</w:t>
      </w:r>
    </w:p>
    <w:p>
      <w:pPr>
        <w:pStyle w:val="ListParagraph"/>
        <w:numPr>
          <w:ilvl w:val="0"/>
          <w:numId w:val="2"/>
        </w:numPr>
        <w:spacing w:after="80"/>
      </w:pPr>
      <w:r>
        <w:rPr>
          <w:rFonts w:ascii="Arial" w:cs="Arial" w:eastAsia="Arial" w:hAnsi="Arial"/>
          <w:sz w:val="22"/>
          <w:szCs w:val="22"/>
        </w:rPr>
        <w:t xml:space="preserve">anomaly_detector.py: Isolation Forest produce scores de anomalía por parcela. útil para Water Stress. Pendiente endpoint.</w:t>
      </w:r>
    </w:p>
    <w:p>
      <w:pPr>
        <w:pStyle w:val="Heading2"/>
        <w:spacing w:after="120" w:before="280"/>
      </w:pPr>
      <w:r>
        <w:rPr>
          <w:rFonts w:ascii="Arial" w:cs="Arial" w:eastAsia="Arial" w:hAnsi="Arial"/>
          <w:b/>
          <w:bCs/>
          <w:color w:val="0F6CBD"/>
          <w:sz w:val="28"/>
          <w:szCs w:val="28"/>
        </w:rPr>
        <w:t xml:space="preserve">12.4 Mejoras de UX identificadas para iteraciones futuras</w:t>
      </w:r>
    </w:p>
    <w:p>
      <w:pPr>
        <w:pStyle w:val="ListParagraph"/>
        <w:numPr>
          <w:ilvl w:val="0"/>
          <w:numId w:val="2"/>
        </w:numPr>
        <w:spacing w:after="80"/>
      </w:pPr>
      <w:r>
        <w:rPr>
          <w:rFonts w:ascii="Arial" w:cs="Arial" w:eastAsia="Arial" w:hAnsi="Arial"/>
          <w:sz w:val="22"/>
          <w:szCs w:val="22"/>
        </w:rPr>
        <w:t xml:space="preserve">Filtro de cultivo funcional en el KPI Grid (actualmente el select de periodo existe pero no filtra la tabla FAO-56).</w:t>
      </w:r>
    </w:p>
    <w:p>
      <w:pPr>
        <w:pStyle w:val="ListParagraph"/>
        <w:numPr>
          <w:ilvl w:val="0"/>
          <w:numId w:val="2"/>
        </w:numPr>
        <w:spacing w:after="80"/>
      </w:pPr>
      <w:r>
        <w:rPr>
          <w:rFonts w:ascii="Arial" w:cs="Arial" w:eastAsia="Arial" w:hAnsi="Arial"/>
          <w:sz w:val="22"/>
          <w:szCs w:val="22"/>
        </w:rPr>
        <w:t xml:space="preserve">Drill-down por parcela en el GIS analítico (click en celda → tooltip con datos de la parcela).</w:t>
      </w:r>
    </w:p>
    <w:p>
      <w:pPr>
        <w:pStyle w:val="ListParagraph"/>
        <w:numPr>
          <w:ilvl w:val="0"/>
          <w:numId w:val="2"/>
        </w:numPr>
        <w:spacing w:after="80"/>
      </w:pPr>
      <w:r>
        <w:rPr>
          <w:rFonts w:ascii="Arial" w:cs="Arial" w:eastAsia="Arial" w:hAnsi="Arial"/>
          <w:sz w:val="22"/>
          <w:szCs w:val="22"/>
        </w:rPr>
        <w:t xml:space="preserve">Modo oscuro para trabajo nocturno (paleta alternativa; variables CSS ya están preparadas en App.jsx).</w:t>
      </w:r>
    </w:p>
    <w:p>
      <w:pPr>
        <w:pStyle w:val="ListParagraph"/>
        <w:numPr>
          <w:ilvl w:val="0"/>
          <w:numId w:val="2"/>
        </w:numPr>
        <w:spacing w:after="80"/>
      </w:pPr>
      <w:r>
        <w:rPr>
          <w:rFonts w:ascii="Arial" w:cs="Arial" w:eastAsia="Arial" w:hAnsi="Arial"/>
          <w:sz w:val="22"/>
          <w:szCs w:val="22"/>
        </w:rPr>
        <w:t xml:space="preserve">Exportación de informe semanal desde el tab Metrics (PDF con los gráficos actuales del ciclo).</w:t>
      </w:r>
    </w:p>
    <w:p>
      <w:pPr>
        <w:pStyle w:val="ListParagraph"/>
        <w:numPr>
          <w:ilvl w:val="0"/>
          <w:numId w:val="2"/>
        </w:numPr>
        <w:spacing w:after="80"/>
      </w:pPr>
      <w:r>
        <w:rPr>
          <w:rFonts w:ascii="Arial" w:cs="Arial" w:eastAsia="Arial" w:hAnsi="Arial"/>
          <w:sz w:val="22"/>
          <w:szCs w:val="22"/>
        </w:rPr>
        <w:t xml:space="preserve">Integración con interfaz de voz: "¿Cómo va el NDVI del módulo?" respondida desde los datos del dashboard.</w:t>
      </w:r>
    </w:p>
    <w:p>
      <w:pPr>
        <w:pStyle w:val="Heading2"/>
        <w:spacing w:after="120" w:before="280"/>
      </w:pPr>
      <w:r>
        <w:rPr>
          <w:rFonts w:ascii="Arial" w:cs="Arial" w:eastAsia="Arial" w:hAnsi="Arial"/>
          <w:b/>
          <w:bCs/>
          <w:color w:val="0F6CBD"/>
          <w:sz w:val="28"/>
          <w:szCs w:val="28"/>
        </w:rPr>
        <w:t xml:space="preserve">12.5 Trade-offs reconocidos</w:t>
      </w:r>
    </w:p>
    <w:p>
      <w:pPr>
        <w:pStyle w:val="ListParagraph"/>
        <w:numPr>
          <w:ilvl w:val="0"/>
          <w:numId w:val="2"/>
        </w:numPr>
        <w:spacing w:after="80"/>
      </w:pPr>
      <w:r>
        <w:rPr>
          <w:rFonts w:ascii="Arial" w:cs="Arial" w:eastAsia="Arial" w:hAnsi="Arial"/>
          <w:sz w:val="22"/>
          <w:szCs w:val="22"/>
        </w:rPr>
        <w:t xml:space="preserve">App.jsx usa React. El stack MILPÍN actual no usa bundler. Portear a vanilla JS es trabajo extra; no portear crea una inconsistencia en el stack.</w:t>
      </w:r>
    </w:p>
    <w:p>
      <w:pPr>
        <w:pStyle w:val="ListParagraph"/>
        <w:numPr>
          <w:ilvl w:val="0"/>
          <w:numId w:val="2"/>
        </w:numPr>
        <w:spacing w:after="80"/>
      </w:pPr>
      <w:r>
        <w:rPr>
          <w:rFonts w:ascii="Arial" w:cs="Arial" w:eastAsia="Arial" w:hAnsi="Arial"/>
          <w:sz w:val="22"/>
          <w:szCs w:val="22"/>
        </w:rPr>
        <w:t xml:space="preserve">Los datos sintéticos en el estado actual hacen que el dashboard "siempre se vea bien". Esto es un riesgo de validación: el equipo puede validar el diseño contra datos sintéticos y luego descubrir que los datos reales cuentan una historia diferente.</w:t>
      </w:r>
    </w:p>
    <w:p>
      <w:pPr>
        <w:pStyle w:val="ListParagraph"/>
        <w:numPr>
          <w:ilvl w:val="0"/>
          <w:numId w:val="2"/>
        </w:numPr>
        <w:spacing w:after="80"/>
      </w:pPr>
      <w:r>
        <w:rPr>
          <w:rFonts w:ascii="Arial" w:cs="Arial" w:eastAsia="Arial" w:hAnsi="Arial"/>
          <w:sz w:val="22"/>
          <w:szCs w:val="22"/>
        </w:rPr>
        <w:t xml:space="preserve">NDVI sintético: el gradiente espacial del GIS es determinístico (basado en Math.sin). Se verá igual siempre hasta que Sentinel-2A esté conectado. Comunicarlo explícitamente al equipo de agronomía.</w:t>
      </w:r>
    </w:p>
    <w:p>
      <w:r>
        <w:br w:type="page"/>
      </w:r>
    </w:p>
    <w:p>
      <w:pPr>
        <w:pStyle w:val="Heading1"/>
        <w:spacing w:after="180" w:before="360"/>
      </w:pPr>
      <w:r>
        <w:rPr>
          <w:rFonts w:ascii="Arial" w:cs="Arial" w:eastAsia="Arial" w:hAnsi="Arial"/>
          <w:b/>
          <w:bCs/>
          <w:color w:val="0A3D62"/>
          <w:sz w:val="34"/>
          <w:szCs w:val="34"/>
        </w:rPr>
        <w:t xml:space="preserve">13. Recomendaciones y siguientes pasos</w:t>
      </w:r>
    </w:p>
    <w:p>
      <w:pPr>
        <w:spacing w:after="120"/>
      </w:pPr>
      <w:r>
        <w:rPr>
          <w:rFonts w:ascii="Arial" w:cs="Arial" w:eastAsia="Arial" w:hAnsi="Arial"/>
          <w:sz w:val="22"/>
          <w:szCs w:val="22"/>
        </w:rPr>
        <w:t xml:space="preserve">Ordenadas por impacto / esfuerzo:</w:t>
      </w:r>
    </w:p>
    <w:p>
      <w:r>
        <w:t xml:space="preserve"/>
      </w:r>
    </w:p>
    <w:p>
      <w:pPr>
        <w:pStyle w:val="ListParagraph"/>
        <w:numPr>
          <w:ilvl w:val="0"/>
          <w:numId w:val="3"/>
        </w:numPr>
        <w:spacing w:after="80"/>
      </w:pPr>
      <w:r>
        <w:rPr>
          <w:rFonts w:ascii="Arial" w:cs="Arial" w:eastAsia="Arial" w:hAnsi="Arial"/>
          <w:sz w:val="22"/>
          <w:szCs w:val="22"/>
        </w:rPr>
        <w:t xml:space="preserve">Validar App.jsx con el agrónomo del DR-041 (si existe acceso). El diseño está hecho desde supuestos — la validación con el usuario real puede revelar que algunas métricas no son las que el agrónomo necesita primero.</w:t>
      </w:r>
    </w:p>
    <w:p>
      <w:pPr>
        <w:pStyle w:val="ListParagraph"/>
        <w:numPr>
          <w:ilvl w:val="0"/>
          <w:numId w:val="3"/>
        </w:numPr>
        <w:spacing w:after="80"/>
      </w:pPr>
      <w:r>
        <w:rPr>
          <w:rFonts w:ascii="Arial" w:cs="Arial" w:eastAsia="Arial" w:hAnsi="Arial"/>
          <w:sz w:val="22"/>
          <w:szCs w:val="22"/>
        </w:rPr>
        <w:t xml:space="preserve">Conectar el endpoint /api/cultivos/fao-summary y reemplazar FAO_TABLE sintético. Es el widget de mayor valor agronómico del Overview tab.</w:t>
      </w:r>
    </w:p>
    <w:p>
      <w:pPr>
        <w:pStyle w:val="ListParagraph"/>
        <w:numPr>
          <w:ilvl w:val="0"/>
          <w:numId w:val="3"/>
        </w:numPr>
        <w:spacing w:after="80"/>
      </w:pPr>
      <w:r>
        <w:rPr>
          <w:rFonts w:ascii="Arial" w:cs="Arial" w:eastAsia="Arial" w:hAnsi="Arial"/>
          <w:sz w:val="22"/>
          <w:szCs w:val="22"/>
        </w:rPr>
        <w:t xml:space="preserve">Conectar /api/modulo/consumo-semanal para el gráfico de consumo acumulado. Es la métrica central del proyecto (8,000 → 6,000 m³/ha).</w:t>
      </w:r>
    </w:p>
    <w:p>
      <w:pPr>
        <w:pStyle w:val="ListParagraph"/>
        <w:numPr>
          <w:ilvl w:val="0"/>
          <w:numId w:val="3"/>
        </w:numPr>
        <w:spacing w:after="80"/>
      </w:pPr>
      <w:r>
        <w:rPr>
          <w:rFonts w:ascii="Arial" w:cs="Arial" w:eastAsia="Arial" w:hAnsi="Arial"/>
          <w:sz w:val="22"/>
          <w:szCs w:val="22"/>
        </w:rPr>
        <w:t xml:space="preserve">Definir la estrategia de migración (Opción A: porteo vanilla JS vs Opción B: Vite micro-frontend). Esta decisión impacta todo lo demás.</w:t>
      </w:r>
    </w:p>
    <w:p>
      <w:pPr>
        <w:pStyle w:val="ListParagraph"/>
        <w:numPr>
          <w:ilvl w:val="0"/>
          <w:numId w:val="3"/>
        </w:numPr>
        <w:spacing w:after="80"/>
      </w:pPr>
      <w:r>
        <w:rPr>
          <w:rFonts w:ascii="Arial" w:cs="Arial" w:eastAsia="Arial" w:hAnsi="Arial"/>
          <w:sz w:val="22"/>
          <w:szCs w:val="22"/>
        </w:rPr>
        <w:t xml:space="preserve">Documentar en CLAUDE.md el nuevo propósito del dashboard (agrícola analítico vs. command center) para que los prompts futuros no reviertan al paradigma operacional.</w:t>
      </w:r>
    </w:p>
    <w:p>
      <w:r>
        <w:t xml:space="preserve"/>
      </w:r>
    </w:p>
    <w:p>
      <w:pPr>
        <w:pBdr>
          <w:bottom w:val="single" w:color="2FBF71" w:sz="4" w:space="1"/>
        </w:pBdr>
        <w:spacing w:after="100"/>
      </w:pPr>
      <w:r>
        <w:t xml:space="preserve"/>
      </w:r>
    </w:p>
    <w:p>
      <w:r>
        <w:t xml:space="preserve"/>
      </w:r>
    </w:p>
    <w:p>
      <w:pPr>
        <w:spacing w:after="80"/>
        <w:jc w:val="center"/>
      </w:pPr>
      <w:r>
        <w:rPr>
          <w:rFonts w:ascii="Arial" w:cs="Arial" w:eastAsia="Arial" w:hAnsi="Arial"/>
          <w:i/>
          <w:iCs/>
          <w:color w:val="6B7C93"/>
          <w:sz w:val="20"/>
          <w:szCs w:val="20"/>
        </w:rPr>
        <w:t xml:space="preserve">Fin del documento. Versión v3.0 — MILPÍN Agricultural Intelligence Dashboard.</w:t>
      </w:r>
    </w:p>
    <w:p>
      <w:pPr>
        <w:spacing w:after="80"/>
        <w:jc w:val="center"/>
      </w:pPr>
      <w:r>
        <w:rPr>
          <w:rFonts w:ascii="Arial" w:cs="Arial" w:eastAsia="Arial" w:hAnsi="Arial"/>
          <w:color w:val="6B7C93"/>
          <w:sz w:val="19"/>
          <w:szCs w:val="19"/>
        </w:rPr>
        <w:t xml:space="preserve">DR-041 · Módulo 3 · Valle del Yaqui · Mayo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FE9" w:sz="2"/>
      </w:pBdr>
      <w:spacing w:before="80"/>
      <w:jc w:val="right"/>
    </w:pPr>
    <w:r>
      <w:rPr>
        <w:rFonts w:ascii="Arial" w:cs="Arial" w:eastAsia="Arial" w:hAnsi="Arial"/>
        <w:color w:val="6B7C93"/>
        <w:sz w:val="16"/>
        <w:szCs w:val="16"/>
      </w:rPr>
      <w:t xml:space="preserve">MILPÍN · DR-041 Módulo 3 · Documento interno </w:t>
    </w:r>
    <w:r>
      <w:rPr>
        <w:rFonts w:ascii="Arial" w:cs="Arial" w:eastAsia="Arial" w:hAnsi="Arial"/>
        <w:color w:val="0F6CB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FE9" w:sz="2"/>
      </w:pBdr>
      <w:spacing w:after="80"/>
    </w:pPr>
    <w:r>
      <w:rPr>
        <w:rFonts w:ascii="Arial" w:cs="Arial" w:eastAsia="Arial" w:hAnsi="Arial"/>
        <w:color w:val="6B7C93"/>
        <w:sz w:val="18"/>
        <w:szCs w:val="18"/>
      </w:rPr>
      <w:t xml:space="preserve">MILPÍN · Agricultural Intelligence Dashboard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3D62"/>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0F6CBD"/>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1F2D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2026-05-17T17:07:51.868Z</dcterms:created>
  <dcterms:modified xsi:type="dcterms:W3CDTF">2026-05-17T17:07:51.870Z</dcterms:modified>
</cp:coreProperties>
</file>

<file path=docProps/custom.xml><?xml version="1.0" encoding="utf-8"?>
<Properties xmlns="http://schemas.openxmlformats.org/officeDocument/2006/custom-properties" xmlns:vt="http://schemas.openxmlformats.org/officeDocument/2006/docPropsVTypes"/>
</file>