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shd w:val="clear" w:color="auto" w:fill="1F497D"/>
      </w:pPr>
      <w:r>
        <w:rPr>
          <w:rFonts w:ascii="Calibri" w:hAnsi="Calibri"/>
          <w:b/>
          <w:color w:val="FFFFFF"/>
          <w:sz w:val="52"/>
        </w:rPr>
        <w:t>MILPÍN AgTech</w:t>
      </w:r>
    </w:p>
    <w:p>
      <w:pPr>
        <w:spacing w:after="80" w:before="0"/>
        <w:shd w:val="clear" w:color="auto" w:fill="1F497D"/>
      </w:pPr>
      <w:r>
        <w:rPr>
          <w:rFonts w:ascii="Calibri" w:hAnsi="Calibri"/>
          <w:b w:val="0"/>
          <w:color w:val="BDD7EE"/>
          <w:sz w:val="24"/>
        </w:rPr>
        <w:t>Sistema Inteligente de Optimización Hídrica para Agricultura de Precisión</w:t>
      </w:r>
    </w:p>
    <w:p>
      <w:pPr>
        <w:spacing w:after="80" w:before="0"/>
        <w:shd w:val="clear" w:color="auto" w:fill="1F497D"/>
      </w:pPr>
      <w:r>
        <w:rPr>
          <w:rFonts w:ascii="Calibri" w:hAnsi="Calibri"/>
          <w:b/>
          <w:color w:val="FFFFFF"/>
          <w:sz w:val="21"/>
        </w:rPr>
        <w:t>Entrega Final Integradora  ·  Mayo 2026</w:t>
      </w:r>
    </w:p>
    <w:p>
      <w:pPr>
        <w:spacing w:after="120"/>
      </w:pPr>
    </w:p>
    <w:p>
      <w:pPr>
        <w:spacing w:after="80" w:before="0"/>
      </w:pPr>
      <w:r>
        <w:rPr>
          <w:rFonts w:ascii="Calibri" w:hAnsi="Calibri"/>
          <w:b w:val="0"/>
          <w:i w:val="0"/>
          <w:color w:val="404040"/>
          <w:sz w:val="19"/>
        </w:rPr>
        <w:t>Documento integrador elaborado como entrega final de cinco materias del semestre universitario, que describe el sistema real de datos, arquitectura técnica y plan de negocio del proyecto MILPÍN.</w:t>
      </w:r>
    </w:p>
    <w:tbl>
      <w:tblPr>
        <w:tblStyle w:val="TableGrid"/>
        <w:tblW w:type="auto" w:w="0"/>
        <w:jc w:val="left"/>
        <w:tblLook w:firstColumn="1" w:firstRow="1" w:lastColumn="0" w:lastRow="0" w:noHBand="0" w:noVBand="1" w:val="04A0"/>
      </w:tblPr>
      <w:tblGrid>
        <w:gridCol w:w="4706"/>
        <w:gridCol w:w="4706"/>
      </w:tblGrid>
      <w:tr>
        <w:tc>
          <w:tcPr>
            <w:tcW w:type="dxa" w:w="2551"/>
            <w:shd w:val="clear" w:color="auto" w:fill="1F497D"/>
            <w:vAlign w:val="center"/>
          </w:tcPr>
          <w:p>
            <w:pPr>
              <w:spacing w:before="40" w:after="40"/>
            </w:pPr>
            <w:r>
              <w:rPr>
                <w:rFonts w:ascii="Calibri" w:hAnsi="Calibri"/>
                <w:b/>
                <w:color w:val="FFFFFF"/>
                <w:sz w:val="17"/>
              </w:rPr>
              <w:t>Materia / UCA</w:t>
            </w:r>
          </w:p>
        </w:tc>
        <w:tc>
          <w:tcPr>
            <w:tcW w:type="dxa" w:w="6860"/>
            <w:shd w:val="clear" w:color="auto" w:fill="1F497D"/>
            <w:vAlign w:val="center"/>
          </w:tcPr>
          <w:p>
            <w:pPr>
              <w:spacing w:before="40" w:after="40"/>
            </w:pPr>
            <w:r>
              <w:rPr>
                <w:rFonts w:ascii="Calibri" w:hAnsi="Calibri"/>
                <w:b/>
                <w:color w:val="FFFFFF"/>
                <w:sz w:val="17"/>
              </w:rPr>
              <w:t>Cobertura en este documento</w:t>
            </w:r>
          </w:p>
        </w:tc>
      </w:tr>
      <w:tr>
        <w:tc>
          <w:tcPr>
            <w:tcW w:type="dxa" w:w="2551"/>
            <w:shd w:val="clear" w:color="auto" w:fill="FFFFFF"/>
            <w:vAlign w:val="center"/>
          </w:tcPr>
          <w:p>
            <w:pPr>
              <w:spacing w:before="40" w:after="40"/>
            </w:pPr>
            <w:r>
              <w:rPr>
                <w:rFonts w:ascii="Calibri" w:hAnsi="Calibri"/>
                <w:color w:val="404040"/>
                <w:sz w:val="17"/>
              </w:rPr>
              <w:t>Emprendimiento</w:t>
            </w:r>
          </w:p>
        </w:tc>
        <w:tc>
          <w:tcPr>
            <w:tcW w:type="dxa" w:w="6860"/>
            <w:shd w:val="clear" w:color="auto" w:fill="FFFFFF"/>
            <w:vAlign w:val="center"/>
          </w:tcPr>
          <w:p>
            <w:pPr>
              <w:spacing w:before="40" w:after="40"/>
            </w:pPr>
            <w:r>
              <w:rPr>
                <w:rFonts w:ascii="Calibri" w:hAnsi="Calibri"/>
                <w:color w:val="404040"/>
                <w:sz w:val="17"/>
              </w:rPr>
              <w:t>Plan de negocios, modelos SaaS y pago por desempeño, BMC, financiamiento, viabilidad</w:t>
            </w:r>
          </w:p>
        </w:tc>
      </w:tr>
      <w:tr>
        <w:tc>
          <w:tcPr>
            <w:tcW w:type="dxa" w:w="2551"/>
            <w:shd w:val="clear" w:color="auto" w:fill="DDEAF7"/>
            <w:vAlign w:val="center"/>
          </w:tcPr>
          <w:p>
            <w:pPr>
              <w:spacing w:before="40" w:after="40"/>
            </w:pPr>
            <w:r>
              <w:rPr>
                <w:rFonts w:ascii="Calibri" w:hAnsi="Calibri"/>
                <w:color w:val="404040"/>
                <w:sz w:val="17"/>
              </w:rPr>
              <w:t>Sistemas de Información</w:t>
            </w:r>
          </w:p>
        </w:tc>
        <w:tc>
          <w:tcPr>
            <w:tcW w:type="dxa" w:w="6860"/>
            <w:shd w:val="clear" w:color="auto" w:fill="DDEAF7"/>
            <w:vAlign w:val="center"/>
          </w:tcPr>
          <w:p>
            <w:pPr>
              <w:spacing w:before="40" w:after="40"/>
            </w:pPr>
            <w:r>
              <w:rPr>
                <w:rFonts w:ascii="Calibri" w:hAnsi="Calibri"/>
                <w:color w:val="404040"/>
                <w:sz w:val="17"/>
              </w:rPr>
              <w:t>Arquitectura cliente-servidor, ORM async, trazabilidad de decisiones, FSM de calidad</w:t>
            </w:r>
          </w:p>
        </w:tc>
      </w:tr>
      <w:tr>
        <w:tc>
          <w:tcPr>
            <w:tcW w:type="dxa" w:w="2551"/>
            <w:shd w:val="clear" w:color="auto" w:fill="FFFFFF"/>
            <w:vAlign w:val="center"/>
          </w:tcPr>
          <w:p>
            <w:pPr>
              <w:spacing w:before="40" w:after="40"/>
            </w:pPr>
            <w:r>
              <w:rPr>
                <w:rFonts w:ascii="Calibri" w:hAnsi="Calibri"/>
                <w:color w:val="404040"/>
                <w:sz w:val="17"/>
              </w:rPr>
              <w:t>Cómputo Cognitivo</w:t>
            </w:r>
          </w:p>
        </w:tc>
        <w:tc>
          <w:tcPr>
            <w:tcW w:type="dxa" w:w="6860"/>
            <w:shd w:val="clear" w:color="auto" w:fill="FFFFFF"/>
            <w:vAlign w:val="center"/>
          </w:tcPr>
          <w:p>
            <w:pPr>
              <w:spacing w:before="40" w:after="40"/>
            </w:pPr>
            <w:r>
              <w:rPr>
                <w:rFonts w:ascii="Calibri" w:hAnsi="Calibri"/>
                <w:color w:val="404040"/>
                <w:sz w:val="17"/>
              </w:rPr>
              <w:t>Pipeline de voz Whisper+Ollama, NLU en español, manejo de incertidumbre operable</w:t>
            </w:r>
          </w:p>
        </w:tc>
      </w:tr>
      <w:tr>
        <w:tc>
          <w:tcPr>
            <w:tcW w:type="dxa" w:w="2551"/>
            <w:shd w:val="clear" w:color="auto" w:fill="DDEAF7"/>
            <w:vAlign w:val="center"/>
          </w:tcPr>
          <w:p>
            <w:pPr>
              <w:spacing w:before="40" w:after="40"/>
            </w:pPr>
            <w:r>
              <w:rPr>
                <w:rFonts w:ascii="Calibri" w:hAnsi="Calibri"/>
                <w:color w:val="404040"/>
                <w:sz w:val="17"/>
              </w:rPr>
              <w:t>Visualización de Datos</w:t>
            </w:r>
          </w:p>
        </w:tc>
        <w:tc>
          <w:tcPr>
            <w:tcW w:type="dxa" w:w="6860"/>
            <w:shd w:val="clear" w:color="auto" w:fill="DDEAF7"/>
            <w:vAlign w:val="center"/>
          </w:tcPr>
          <w:p>
            <w:pPr>
              <w:spacing w:before="40" w:after="40"/>
            </w:pPr>
            <w:r>
              <w:rPr>
                <w:rFonts w:ascii="Calibri" w:hAnsi="Calibri"/>
                <w:color w:val="404040"/>
                <w:sz w:val="17"/>
              </w:rPr>
              <w:t>Dashboard GIS Leaflet, alertas cromáticas, jerarquía visual tres niveles, accesibilidad</w:t>
            </w:r>
          </w:p>
        </w:tc>
      </w:tr>
      <w:tr>
        <w:tc>
          <w:tcPr>
            <w:tcW w:type="dxa" w:w="2551"/>
            <w:shd w:val="clear" w:color="auto" w:fill="FFFFFF"/>
            <w:vAlign w:val="center"/>
          </w:tcPr>
          <w:p>
            <w:pPr>
              <w:spacing w:before="40" w:after="40"/>
            </w:pPr>
            <w:r>
              <w:rPr>
                <w:rFonts w:ascii="Calibri" w:hAnsi="Calibri"/>
                <w:color w:val="404040"/>
                <w:sz w:val="17"/>
              </w:rPr>
              <w:t>Modelado y Simulación</w:t>
            </w:r>
          </w:p>
        </w:tc>
        <w:tc>
          <w:tcPr>
            <w:tcW w:type="dxa" w:w="6860"/>
            <w:shd w:val="clear" w:color="auto" w:fill="FFFFFF"/>
            <w:vAlign w:val="center"/>
          </w:tcPr>
          <w:p>
            <w:pPr>
              <w:spacing w:before="40" w:after="40"/>
            </w:pPr>
            <w:r>
              <w:rPr>
                <w:rFonts w:ascii="Calibri" w:hAnsi="Calibri"/>
                <w:color w:val="404040"/>
                <w:sz w:val="17"/>
              </w:rPr>
              <w:t>Motor FAO-56 Penman-Monteith, XGBoost M1/M2, Ridge Regression, Isolation Forest</w:t>
            </w:r>
          </w:p>
        </w:tc>
      </w:tr>
    </w:tbl>
    <w:p>
      <w:pPr>
        <w:spacing w:after="60"/>
      </w:pPr>
    </w:p>
    <w:p>
      <w:pPr>
        <w:spacing w:after="80"/>
      </w:pPr>
    </w:p>
    <w:p>
      <w:pPr>
        <w:spacing w:after="60" w:before="0"/>
      </w:pPr>
      <w:r>
        <w:rPr>
          <w:rFonts w:ascii="Calibri" w:hAnsi="Calibri"/>
          <w:b/>
          <w:i w:val="0"/>
          <w:color w:val="1F497D"/>
          <w:sz w:val="19"/>
        </w:rPr>
        <w:t>Distrito de Riego 041 (DR-041) · Módulo 3 · Valle del Yaqui, Sonora, México</w:t>
      </w:r>
    </w:p>
    <w:p>
      <w:pPr>
        <w:spacing w:after="60" w:before="0"/>
      </w:pPr>
      <w:r>
        <w:rPr>
          <w:rFonts w:ascii="Calibri" w:hAnsi="Calibri"/>
          <w:b w:val="0"/>
          <w:i/>
          <w:color w:val="404040"/>
          <w:sz w:val="18"/>
        </w:rPr>
        <w:t>KPI Central: reducir consumo hídrico 8,000 → 6,000 m³/ha/ciclo (−25%) ≡ $3,360 MXN/ha en ahorro energético</w:t>
      </w:r>
    </w:p>
    <w:p>
      <w:r>
        <w:br/>
      </w:r>
    </w:p>
    <w:p>
      <w:pPr>
        <w:pStyle w:val="Heading1"/>
        <w:shd w:val="clear" w:color="auto" w:fill="1F497D"/>
      </w:pPr>
      <w:r>
        <w:rPr>
          <w:b/>
          <w:color w:val="FFFFFF"/>
        </w:rPr>
        <w:t>I.  Resumen Ejecutivo</w:t>
      </w:r>
    </w:p>
    <w:p>
      <w:pPr>
        <w:spacing w:after="80" w:before="0"/>
      </w:pPr>
      <w:r>
        <w:rPr>
          <w:rFonts w:ascii="Calibri" w:hAnsi="Calibri"/>
          <w:b w:val="0"/>
          <w:i w:val="0"/>
          <w:color w:val="404040"/>
          <w:sz w:val="19"/>
        </w:rPr>
        <w:t>El Valle del Yaqui aporta &gt;12% de la producción nacional de trigo y opera sobre el DR-041 (~225,000 ha irrigadas). El consumo hídrico promedio supera 8,000 m³/ha/ciclo — ~2,000 m³/ha más del requerimiento real. El 92% de los agricultores toma decisiones de riego por experiencia empírica sin ningún software (IMTA, 2022). El costo de bombeo desde 80 m (tarifa CFE 9-CU, $1.68 MXN/m³) representa $13,440 MXN/ha/ciclo.</w:t>
      </w:r>
    </w:p>
    <w:p>
      <w:pPr>
        <w:spacing w:after="80" w:before="0"/>
      </w:pPr>
      <w:r>
        <w:rPr>
          <w:rFonts w:ascii="Calibri" w:hAnsi="Calibri"/>
          <w:b w:val="0"/>
          <w:i w:val="0"/>
          <w:color w:val="404040"/>
          <w:sz w:val="19"/>
        </w:rPr>
        <w:t>MILPÍN AgTech integra motor FAO-56 Penman-Monteith con datos NASA POWER, análisis geoespacial PostGIS 3.6, proyección ETo 7 días (Ridge Regression), predicción de consumo y rendimiento (XGBoost), detección de anomalías (Isolation Forest) e interfaz de voz en español (Whisper + Ollama llama3.2). No reemplaza al agrónomo: genera recomendaciones por parcela con volumen en m³, costo energético y nivel de urgencia.</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81"/>
            <w:shd w:val="clear" w:color="auto" w:fill="1F497D"/>
            <w:vAlign w:val="center"/>
          </w:tcPr>
          <w:p>
            <w:pPr>
              <w:spacing w:before="40" w:after="40"/>
            </w:pPr>
            <w:r>
              <w:rPr>
                <w:rFonts w:ascii="Calibri" w:hAnsi="Calibri"/>
                <w:b/>
                <w:color w:val="FFFFFF"/>
                <w:sz w:val="17"/>
              </w:rPr>
              <w:t>KPI</w:t>
            </w:r>
          </w:p>
        </w:tc>
        <w:tc>
          <w:tcPr>
            <w:tcW w:type="dxa" w:w="1984"/>
            <w:shd w:val="clear" w:color="auto" w:fill="1F497D"/>
            <w:vAlign w:val="center"/>
          </w:tcPr>
          <w:p>
            <w:pPr>
              <w:spacing w:before="40" w:after="40"/>
            </w:pPr>
            <w:r>
              <w:rPr>
                <w:rFonts w:ascii="Calibri" w:hAnsi="Calibri"/>
                <w:b/>
                <w:color w:val="FFFFFF"/>
                <w:sz w:val="17"/>
              </w:rPr>
              <w:t>Baseline</w:t>
            </w:r>
          </w:p>
        </w:tc>
        <w:tc>
          <w:tcPr>
            <w:tcW w:type="dxa" w:w="1984"/>
            <w:shd w:val="clear" w:color="auto" w:fill="1F497D"/>
            <w:vAlign w:val="center"/>
          </w:tcPr>
          <w:p>
            <w:pPr>
              <w:spacing w:before="40" w:after="40"/>
            </w:pPr>
            <w:r>
              <w:rPr>
                <w:rFonts w:ascii="Calibri" w:hAnsi="Calibri"/>
                <w:b/>
                <w:color w:val="FFFFFF"/>
                <w:sz w:val="17"/>
              </w:rPr>
              <w:t>Meta MILPÍN</w:t>
            </w:r>
          </w:p>
        </w:tc>
        <w:tc>
          <w:tcPr>
            <w:tcW w:type="dxa" w:w="2494"/>
            <w:shd w:val="clear" w:color="auto" w:fill="1F497D"/>
            <w:vAlign w:val="center"/>
          </w:tcPr>
          <w:p>
            <w:pPr>
              <w:spacing w:before="40" w:after="40"/>
            </w:pPr>
            <w:r>
              <w:rPr>
                <w:rFonts w:ascii="Calibri" w:hAnsi="Calibri"/>
                <w:b/>
                <w:color w:val="FFFFFF"/>
                <w:sz w:val="17"/>
              </w:rPr>
              <w:t>Impacto</w:t>
            </w:r>
          </w:p>
        </w:tc>
      </w:tr>
      <w:tr>
        <w:tc>
          <w:tcPr>
            <w:tcW w:type="dxa" w:w="2381"/>
            <w:shd w:val="clear" w:color="auto" w:fill="FFFFFF"/>
            <w:vAlign w:val="center"/>
          </w:tcPr>
          <w:p>
            <w:pPr>
              <w:spacing w:before="40" w:after="40"/>
            </w:pPr>
            <w:r>
              <w:rPr>
                <w:rFonts w:ascii="Calibri" w:hAnsi="Calibri"/>
                <w:color w:val="404040"/>
                <w:sz w:val="17"/>
              </w:rPr>
              <w:t>Consumo hídrico</w:t>
            </w:r>
          </w:p>
        </w:tc>
        <w:tc>
          <w:tcPr>
            <w:tcW w:type="dxa" w:w="1984"/>
            <w:shd w:val="clear" w:color="auto" w:fill="FFFFFF"/>
            <w:vAlign w:val="center"/>
          </w:tcPr>
          <w:p>
            <w:pPr>
              <w:spacing w:before="40" w:after="40"/>
            </w:pPr>
            <w:r>
              <w:rPr>
                <w:rFonts w:ascii="Calibri" w:hAnsi="Calibri"/>
                <w:color w:val="404040"/>
                <w:sz w:val="17"/>
              </w:rPr>
              <w:t>8,000 m³/ha/ciclo</w:t>
            </w:r>
          </w:p>
        </w:tc>
        <w:tc>
          <w:tcPr>
            <w:tcW w:type="dxa" w:w="1984"/>
            <w:shd w:val="clear" w:color="auto" w:fill="FFFFFF"/>
            <w:vAlign w:val="center"/>
          </w:tcPr>
          <w:p>
            <w:pPr>
              <w:spacing w:before="40" w:after="40"/>
            </w:pPr>
            <w:r>
              <w:rPr>
                <w:rFonts w:ascii="Calibri" w:hAnsi="Calibri"/>
                <w:color w:val="404040"/>
                <w:sz w:val="17"/>
              </w:rPr>
              <w:t>6,000 m³/ha/ciclo</w:t>
            </w:r>
          </w:p>
        </w:tc>
        <w:tc>
          <w:tcPr>
            <w:tcW w:type="dxa" w:w="2494"/>
            <w:shd w:val="clear" w:color="auto" w:fill="FFFFFF"/>
            <w:vAlign w:val="center"/>
          </w:tcPr>
          <w:p>
            <w:pPr>
              <w:spacing w:before="40" w:after="40"/>
            </w:pPr>
            <w:r>
              <w:rPr>
                <w:rFonts w:ascii="Calibri" w:hAnsi="Calibri"/>
                <w:color w:val="404040"/>
                <w:sz w:val="17"/>
              </w:rPr>
              <w:t>−25% por ciclo</w:t>
            </w:r>
          </w:p>
        </w:tc>
      </w:tr>
      <w:tr>
        <w:tc>
          <w:tcPr>
            <w:tcW w:type="dxa" w:w="2381"/>
            <w:shd w:val="clear" w:color="auto" w:fill="DDEAF7"/>
            <w:vAlign w:val="center"/>
          </w:tcPr>
          <w:p>
            <w:pPr>
              <w:spacing w:before="40" w:after="40"/>
            </w:pPr>
            <w:r>
              <w:rPr>
                <w:rFonts w:ascii="Calibri" w:hAnsi="Calibri"/>
                <w:color w:val="404040"/>
                <w:sz w:val="17"/>
              </w:rPr>
              <w:t>Costo de bombeo</w:t>
            </w:r>
          </w:p>
        </w:tc>
        <w:tc>
          <w:tcPr>
            <w:tcW w:type="dxa" w:w="1984"/>
            <w:shd w:val="clear" w:color="auto" w:fill="DDEAF7"/>
            <w:vAlign w:val="center"/>
          </w:tcPr>
          <w:p>
            <w:pPr>
              <w:spacing w:before="40" w:after="40"/>
            </w:pPr>
            <w:r>
              <w:rPr>
                <w:rFonts w:ascii="Calibri" w:hAnsi="Calibri"/>
                <w:color w:val="404040"/>
                <w:sz w:val="17"/>
              </w:rPr>
              <w:t>$13,440 MXN/ha</w:t>
            </w:r>
          </w:p>
        </w:tc>
        <w:tc>
          <w:tcPr>
            <w:tcW w:type="dxa" w:w="1984"/>
            <w:shd w:val="clear" w:color="auto" w:fill="DDEAF7"/>
            <w:vAlign w:val="center"/>
          </w:tcPr>
          <w:p>
            <w:pPr>
              <w:spacing w:before="40" w:after="40"/>
            </w:pPr>
            <w:r>
              <w:rPr>
                <w:rFonts w:ascii="Calibri" w:hAnsi="Calibri"/>
                <w:color w:val="404040"/>
                <w:sz w:val="17"/>
              </w:rPr>
              <w:t>$10,080 MXN/ha</w:t>
            </w:r>
          </w:p>
        </w:tc>
        <w:tc>
          <w:tcPr>
            <w:tcW w:type="dxa" w:w="2494"/>
            <w:shd w:val="clear" w:color="auto" w:fill="DDEAF7"/>
            <w:vAlign w:val="center"/>
          </w:tcPr>
          <w:p>
            <w:pPr>
              <w:spacing w:before="40" w:after="40"/>
            </w:pPr>
            <w:r>
              <w:rPr>
                <w:rFonts w:ascii="Calibri" w:hAnsi="Calibri"/>
                <w:color w:val="404040"/>
                <w:sz w:val="17"/>
              </w:rPr>
              <w:t>Ahorro $3,360 MXN/ha</w:t>
            </w:r>
          </w:p>
        </w:tc>
      </w:tr>
      <w:tr>
        <w:tc>
          <w:tcPr>
            <w:tcW w:type="dxa" w:w="2381"/>
            <w:shd w:val="clear" w:color="auto" w:fill="FFFFFF"/>
            <w:vAlign w:val="center"/>
          </w:tcPr>
          <w:p>
            <w:pPr>
              <w:spacing w:before="40" w:after="40"/>
            </w:pPr>
            <w:r>
              <w:rPr>
                <w:rFonts w:ascii="Calibri" w:hAnsi="Calibri"/>
                <w:color w:val="404040"/>
                <w:sz w:val="17"/>
              </w:rPr>
              <w:t>Tests automatizados</w:t>
            </w:r>
          </w:p>
        </w:tc>
        <w:tc>
          <w:tcPr>
            <w:tcW w:type="dxa" w:w="1984"/>
            <w:shd w:val="clear" w:color="auto" w:fill="FFFFFF"/>
            <w:vAlign w:val="center"/>
          </w:tcPr>
          <w:p>
            <w:pPr>
              <w:spacing w:before="40" w:after="40"/>
            </w:pPr>
            <w:r>
              <w:rPr>
                <w:rFonts w:ascii="Calibri" w:hAnsi="Calibri"/>
                <w:color w:val="404040"/>
                <w:sz w:val="17"/>
              </w:rPr>
              <w:t>0</w:t>
            </w:r>
          </w:p>
        </w:tc>
        <w:tc>
          <w:tcPr>
            <w:tcW w:type="dxa" w:w="1984"/>
            <w:shd w:val="clear" w:color="auto" w:fill="FFFFFF"/>
            <w:vAlign w:val="center"/>
          </w:tcPr>
          <w:p>
            <w:pPr>
              <w:spacing w:before="40" w:after="40"/>
            </w:pPr>
            <w:r>
              <w:rPr>
                <w:rFonts w:ascii="Calibri" w:hAnsi="Calibri"/>
                <w:color w:val="404040"/>
                <w:sz w:val="17"/>
              </w:rPr>
              <w:t>77 (42 unit + 35 e2e)</w:t>
            </w:r>
          </w:p>
        </w:tc>
        <w:tc>
          <w:tcPr>
            <w:tcW w:type="dxa" w:w="2494"/>
            <w:shd w:val="clear" w:color="auto" w:fill="FFFFFF"/>
            <w:vAlign w:val="center"/>
          </w:tcPr>
          <w:p>
            <w:pPr>
              <w:spacing w:before="40" w:after="40"/>
            </w:pPr>
            <w:r>
              <w:rPr>
                <w:rFonts w:ascii="Calibri" w:hAnsi="Calibri"/>
                <w:color w:val="404040"/>
                <w:sz w:val="17"/>
              </w:rPr>
              <w:t>Robustez validada</w:t>
            </w:r>
          </w:p>
        </w:tc>
      </w:tr>
      <w:tr>
        <w:tc>
          <w:tcPr>
            <w:tcW w:type="dxa" w:w="2381"/>
            <w:shd w:val="clear" w:color="auto" w:fill="DDEAF7"/>
            <w:vAlign w:val="center"/>
          </w:tcPr>
          <w:p>
            <w:pPr>
              <w:spacing w:before="40" w:after="40"/>
            </w:pPr>
            <w:r>
              <w:rPr>
                <w:rFonts w:ascii="Calibri" w:hAnsi="Calibri"/>
                <w:color w:val="404040"/>
                <w:sz w:val="17"/>
              </w:rPr>
              <w:t>Agricultores digitalizados</w:t>
            </w:r>
          </w:p>
        </w:tc>
        <w:tc>
          <w:tcPr>
            <w:tcW w:type="dxa" w:w="1984"/>
            <w:shd w:val="clear" w:color="auto" w:fill="DDEAF7"/>
            <w:vAlign w:val="center"/>
          </w:tcPr>
          <w:p>
            <w:pPr>
              <w:spacing w:before="40" w:after="40"/>
            </w:pPr>
            <w:r>
              <w:rPr>
                <w:rFonts w:ascii="Calibri" w:hAnsi="Calibri"/>
                <w:color w:val="404040"/>
                <w:sz w:val="17"/>
              </w:rPr>
              <w:t>8% DR-041</w:t>
            </w:r>
          </w:p>
        </w:tc>
        <w:tc>
          <w:tcPr>
            <w:tcW w:type="dxa" w:w="1984"/>
            <w:shd w:val="clear" w:color="auto" w:fill="DDEAF7"/>
            <w:vAlign w:val="center"/>
          </w:tcPr>
          <w:p>
            <w:pPr>
              <w:spacing w:before="40" w:after="40"/>
            </w:pPr>
            <w:r>
              <w:rPr>
                <w:rFonts w:ascii="Calibri" w:hAnsi="Calibri"/>
                <w:color w:val="404040"/>
                <w:sz w:val="17"/>
              </w:rPr>
              <w:t>&gt;50% en 3 años</w:t>
            </w:r>
          </w:p>
        </w:tc>
        <w:tc>
          <w:tcPr>
            <w:tcW w:type="dxa" w:w="2494"/>
            <w:shd w:val="clear" w:color="auto" w:fill="DDEAF7"/>
            <w:vAlign w:val="center"/>
          </w:tcPr>
          <w:p>
            <w:pPr>
              <w:spacing w:before="40" w:after="40"/>
            </w:pPr>
            <w:r>
              <w:rPr>
                <w:rFonts w:ascii="Calibri" w:hAnsi="Calibri"/>
                <w:color w:val="404040"/>
                <w:sz w:val="17"/>
              </w:rPr>
              <w:t>Inclusión tecnológica</w:t>
            </w:r>
          </w:p>
        </w:tc>
      </w:tr>
    </w:tbl>
    <w:p>
      <w:pPr>
        <w:spacing w:after="60"/>
      </w:pPr>
    </w:p>
    <w:tbl>
      <w:tblPr>
        <w:tblStyle w:val="TableGrid"/>
        <w:tblW w:type="auto" w:w="0"/>
        <w:jc w:val="left"/>
        <w:tblLook w:firstColumn="1" w:firstRow="1" w:lastColumn="0" w:lastRow="0" w:noHBand="0" w:noVBand="1" w:val="04A0"/>
      </w:tblPr>
      <w:tblGrid>
        <w:gridCol w:w="4706"/>
        <w:gridCol w:w="4706"/>
      </w:tblGrid>
      <w:tr>
        <w:tc>
          <w:tcPr>
            <w:tcW w:type="dxa" w:w="3685"/>
            <w:shd w:val="clear" w:color="auto" w:fill="1F497D"/>
            <w:vAlign w:val="center"/>
          </w:tcPr>
          <w:p>
            <w:pPr>
              <w:spacing w:before="40" w:after="40"/>
            </w:pPr>
            <w:r>
              <w:rPr>
                <w:rFonts w:ascii="Calibri" w:hAnsi="Calibri"/>
                <w:b/>
                <w:color w:val="FFFFFF"/>
                <w:sz w:val="17"/>
              </w:rPr>
              <w:t>Componente</w:t>
            </w:r>
          </w:p>
        </w:tc>
        <w:tc>
          <w:tcPr>
            <w:tcW w:type="dxa" w:w="5726"/>
            <w:shd w:val="clear" w:color="auto" w:fill="1F497D"/>
            <w:vAlign w:val="center"/>
          </w:tcPr>
          <w:p>
            <w:pPr>
              <w:spacing w:before="40" w:after="40"/>
            </w:pPr>
            <w:r>
              <w:rPr>
                <w:rFonts w:ascii="Calibri" w:hAnsi="Calibri"/>
                <w:b/>
                <w:color w:val="FFFFFF"/>
                <w:sz w:val="17"/>
              </w:rPr>
              <w:t>Estado actual</w:t>
            </w:r>
          </w:p>
        </w:tc>
      </w:tr>
      <w:tr>
        <w:tc>
          <w:tcPr>
            <w:tcW w:type="dxa" w:w="3685"/>
            <w:shd w:val="clear" w:color="auto" w:fill="FFFFFF"/>
            <w:vAlign w:val="center"/>
          </w:tcPr>
          <w:p>
            <w:pPr>
              <w:spacing w:before="40" w:after="40"/>
            </w:pPr>
            <w:r>
              <w:rPr>
                <w:rFonts w:ascii="Calibri" w:hAnsi="Calibri"/>
                <w:color w:val="404040"/>
                <w:sz w:val="17"/>
              </w:rPr>
              <w:t>Backend FastAPI + SQLAlchemy 2.0 async</w:t>
            </w:r>
          </w:p>
        </w:tc>
        <w:tc>
          <w:tcPr>
            <w:tcW w:type="dxa" w:w="5726"/>
            <w:shd w:val="clear" w:color="auto" w:fill="FFFFFF"/>
            <w:vAlign w:val="center"/>
          </w:tcPr>
          <w:p>
            <w:pPr>
              <w:spacing w:before="40" w:after="40"/>
            </w:pPr>
            <w:r>
              <w:rPr>
                <w:rFonts w:ascii="Calibri" w:hAnsi="Calibri"/>
                <w:color w:val="404040"/>
                <w:sz w:val="17"/>
              </w:rPr>
              <w:t>✔ Operativo — 4 routers, 20+ endpoints REST</w:t>
            </w:r>
          </w:p>
        </w:tc>
      </w:tr>
      <w:tr>
        <w:tc>
          <w:tcPr>
            <w:tcW w:type="dxa" w:w="3685"/>
            <w:shd w:val="clear" w:color="auto" w:fill="DDEAF7"/>
            <w:vAlign w:val="center"/>
          </w:tcPr>
          <w:p>
            <w:pPr>
              <w:spacing w:before="40" w:after="40"/>
            </w:pPr>
            <w:r>
              <w:rPr>
                <w:rFonts w:ascii="Calibri" w:hAnsi="Calibri"/>
                <w:color w:val="404040"/>
                <w:sz w:val="17"/>
              </w:rPr>
              <w:t>PostgreSQL 15 + PostGIS 3.6</w:t>
            </w:r>
          </w:p>
        </w:tc>
        <w:tc>
          <w:tcPr>
            <w:tcW w:type="dxa" w:w="5726"/>
            <w:shd w:val="clear" w:color="auto" w:fill="DDEAF7"/>
            <w:vAlign w:val="center"/>
          </w:tcPr>
          <w:p>
            <w:pPr>
              <w:spacing w:before="40" w:after="40"/>
            </w:pPr>
            <w:r>
              <w:rPr>
                <w:rFonts w:ascii="Calibri" w:hAnsi="Calibri"/>
                <w:color w:val="404040"/>
                <w:sz w:val="17"/>
              </w:rPr>
              <w:t>✔ Instalado — parcelas.geom GEOMETRY(Polygon,4326), índice GIST</w:t>
            </w:r>
          </w:p>
        </w:tc>
      </w:tr>
      <w:tr>
        <w:tc>
          <w:tcPr>
            <w:tcW w:type="dxa" w:w="3685"/>
            <w:shd w:val="clear" w:color="auto" w:fill="FFFFFF"/>
            <w:vAlign w:val="center"/>
          </w:tcPr>
          <w:p>
            <w:pPr>
              <w:spacing w:before="40" w:after="40"/>
            </w:pPr>
            <w:r>
              <w:rPr>
                <w:rFonts w:ascii="Calibri" w:hAnsi="Calibri"/>
                <w:color w:val="404040"/>
                <w:sz w:val="17"/>
              </w:rPr>
              <w:t>Motor FAO-56 Penman-Monteith</w:t>
            </w:r>
          </w:p>
        </w:tc>
        <w:tc>
          <w:tcPr>
            <w:tcW w:type="dxa" w:w="5726"/>
            <w:shd w:val="clear" w:color="auto" w:fill="FFFFFF"/>
            <w:vAlign w:val="center"/>
          </w:tcPr>
          <w:p>
            <w:pPr>
              <w:spacing w:before="40" w:after="40"/>
            </w:pPr>
            <w:r>
              <w:rPr>
                <w:rFonts w:ascii="Calibri" w:hAnsi="Calibri"/>
                <w:color w:val="404040"/>
                <w:sz w:val="17"/>
              </w:rPr>
              <w:t>✔ Completo — Hargreaves fallback, vectorización NumPy</w:t>
            </w:r>
          </w:p>
        </w:tc>
      </w:tr>
      <w:tr>
        <w:tc>
          <w:tcPr>
            <w:tcW w:type="dxa" w:w="3685"/>
            <w:shd w:val="clear" w:color="auto" w:fill="DDEAF7"/>
            <w:vAlign w:val="center"/>
          </w:tcPr>
          <w:p>
            <w:pPr>
              <w:spacing w:before="40" w:after="40"/>
            </w:pPr>
            <w:r>
              <w:rPr>
                <w:rFonts w:ascii="Calibri" w:hAnsi="Calibri"/>
                <w:color w:val="404040"/>
                <w:sz w:val="17"/>
              </w:rPr>
              <w:t>Loop recomendación → feedback → historial</w:t>
            </w:r>
          </w:p>
        </w:tc>
        <w:tc>
          <w:tcPr>
            <w:tcW w:type="dxa" w:w="5726"/>
            <w:shd w:val="clear" w:color="auto" w:fill="DDEAF7"/>
            <w:vAlign w:val="center"/>
          </w:tcPr>
          <w:p>
            <w:pPr>
              <w:spacing w:before="40" w:after="40"/>
            </w:pPr>
            <w:r>
              <w:rPr>
                <w:rFonts w:ascii="Calibri" w:hAnsi="Calibri"/>
                <w:color w:val="404040"/>
                <w:sz w:val="17"/>
              </w:rPr>
              <w:t>✔ Completo — PATCH feedback auto-inserta historial_riego</w:t>
            </w:r>
          </w:p>
        </w:tc>
      </w:tr>
      <w:tr>
        <w:tc>
          <w:tcPr>
            <w:tcW w:type="dxa" w:w="3685"/>
            <w:shd w:val="clear" w:color="auto" w:fill="FFFFFF"/>
            <w:vAlign w:val="center"/>
          </w:tcPr>
          <w:p>
            <w:pPr>
              <w:spacing w:before="40" w:after="40"/>
            </w:pPr>
            <w:r>
              <w:rPr>
                <w:rFonts w:ascii="Calibri" w:hAnsi="Calibri"/>
                <w:color w:val="404040"/>
                <w:sz w:val="17"/>
              </w:rPr>
              <w:t>Forecast ETo 7 días (Ridge Regression)</w:t>
            </w:r>
          </w:p>
        </w:tc>
        <w:tc>
          <w:tcPr>
            <w:tcW w:type="dxa" w:w="5726"/>
            <w:shd w:val="clear" w:color="auto" w:fill="FFFFFF"/>
            <w:vAlign w:val="center"/>
          </w:tcPr>
          <w:p>
            <w:pPr>
              <w:spacing w:before="40" w:after="40"/>
            </w:pPr>
            <w:r>
              <w:rPr>
                <w:rFonts w:ascii="Calibri" w:hAnsi="Calibri"/>
                <w:color w:val="404040"/>
                <w:sz w:val="17"/>
              </w:rPr>
              <w:t>✔ RMSE 41.6% mejor que baseline media 14 días</w:t>
            </w:r>
          </w:p>
        </w:tc>
      </w:tr>
      <w:tr>
        <w:tc>
          <w:tcPr>
            <w:tcW w:type="dxa" w:w="3685"/>
            <w:shd w:val="clear" w:color="auto" w:fill="DDEAF7"/>
            <w:vAlign w:val="center"/>
          </w:tcPr>
          <w:p>
            <w:pPr>
              <w:spacing w:before="40" w:after="40"/>
            </w:pPr>
            <w:r>
              <w:rPr>
                <w:rFonts w:ascii="Calibri" w:hAnsi="Calibri"/>
                <w:color w:val="404040"/>
                <w:sz w:val="17"/>
              </w:rPr>
              <w:t>XGBoost M1 (consumo) + M2 (rendimiento)</w:t>
            </w:r>
          </w:p>
        </w:tc>
        <w:tc>
          <w:tcPr>
            <w:tcW w:type="dxa" w:w="5726"/>
            <w:shd w:val="clear" w:color="auto" w:fill="DDEAF7"/>
            <w:vAlign w:val="center"/>
          </w:tcPr>
          <w:p>
            <w:pPr>
              <w:spacing w:before="40" w:after="40"/>
            </w:pPr>
            <w:r>
              <w:rPr>
                <w:rFonts w:ascii="Calibri" w:hAnsi="Calibri"/>
                <w:color w:val="404040"/>
                <w:sz w:val="17"/>
              </w:rPr>
              <w:t>✔ R²=0.953 y 0.941 en 50K ciclos sintéticos</w:t>
            </w:r>
          </w:p>
        </w:tc>
      </w:tr>
      <w:tr>
        <w:tc>
          <w:tcPr>
            <w:tcW w:type="dxa" w:w="3685"/>
            <w:shd w:val="clear" w:color="auto" w:fill="FFFFFF"/>
            <w:vAlign w:val="center"/>
          </w:tcPr>
          <w:p>
            <w:pPr>
              <w:spacing w:before="40" w:after="40"/>
            </w:pPr>
            <w:r>
              <w:rPr>
                <w:rFonts w:ascii="Calibri" w:hAnsi="Calibri"/>
                <w:color w:val="404040"/>
                <w:sz w:val="17"/>
              </w:rPr>
              <w:t>Pipeline voz Whisper + Ollama llama3.2</w:t>
            </w:r>
          </w:p>
        </w:tc>
        <w:tc>
          <w:tcPr>
            <w:tcW w:type="dxa" w:w="5726"/>
            <w:shd w:val="clear" w:color="auto" w:fill="FFFFFF"/>
            <w:vAlign w:val="center"/>
          </w:tcPr>
          <w:p>
            <w:pPr>
              <w:spacing w:before="40" w:after="40"/>
            </w:pPr>
            <w:r>
              <w:rPr>
                <w:rFonts w:ascii="Calibri" w:hAnsi="Calibri"/>
                <w:color w:val="404040"/>
                <w:sz w:val="17"/>
              </w:rPr>
              <w:t>✔ Startup ~2s (lazy load), intención en JSON</w:t>
            </w:r>
          </w:p>
        </w:tc>
      </w:tr>
      <w:tr>
        <w:tc>
          <w:tcPr>
            <w:tcW w:type="dxa" w:w="3685"/>
            <w:shd w:val="clear" w:color="auto" w:fill="DDEAF7"/>
            <w:vAlign w:val="center"/>
          </w:tcPr>
          <w:p>
            <w:pPr>
              <w:spacing w:before="40" w:after="40"/>
            </w:pPr>
            <w:r>
              <w:rPr>
                <w:rFonts w:ascii="Calibri" w:hAnsi="Calibri"/>
                <w:color w:val="404040"/>
                <w:sz w:val="17"/>
              </w:rPr>
              <w:t>Autenticación JWT</w:t>
            </w:r>
          </w:p>
        </w:tc>
        <w:tc>
          <w:tcPr>
            <w:tcW w:type="dxa" w:w="5726"/>
            <w:shd w:val="clear" w:color="auto" w:fill="DDEAF7"/>
            <w:vAlign w:val="center"/>
          </w:tcPr>
          <w:p>
            <w:pPr>
              <w:spacing w:before="40" w:after="40"/>
            </w:pPr>
            <w:r>
              <w:rPr>
                <w:rFonts w:ascii="Calibri" w:hAnsi="Calibri"/>
                <w:color w:val="404040"/>
                <w:sz w:val="17"/>
              </w:rPr>
              <w:t>✗ PENDIENTE — crítico antes de piloto público</w:t>
            </w:r>
          </w:p>
        </w:tc>
      </w:tr>
    </w:tbl>
    <w:p>
      <w:pPr>
        <w:spacing w:after="60"/>
      </w:pPr>
    </w:p>
    <w:p>
      <w:r>
        <w:br/>
      </w:r>
    </w:p>
    <w:p>
      <w:pPr>
        <w:pStyle w:val="Heading1"/>
        <w:shd w:val="clear" w:color="auto" w:fill="1F497D"/>
      </w:pPr>
      <w:r>
        <w:rPr>
          <w:b/>
          <w:color w:val="FFFFFF"/>
        </w:rPr>
        <w:t>PARTE I — PLAN DE NEGOCIOS</w:t>
      </w:r>
    </w:p>
    <w:p>
      <w:pPr>
        <w:pStyle w:val="Heading1"/>
        <w:shd w:val="clear" w:color="auto" w:fill="1F497D"/>
      </w:pPr>
      <w:r>
        <w:rPr>
          <w:b/>
          <w:color w:val="FFFFFF"/>
        </w:rPr>
        <w:t>II.  Análisis del Entorno y Sector</w:t>
      </w:r>
    </w:p>
    <w:p>
      <w:pPr>
        <w:pStyle w:val="Heading2"/>
        <w:pBdr>
          <w:bottom w:val="single" w:sz="4" w:space="1" w:color="2E75B6"/>
        </w:pBdr>
      </w:pPr>
      <w:r>
        <w:t>2.1  Contexto Hídrico</w:t>
      </w:r>
    </w:p>
    <w:p>
      <w:pPr>
        <w:spacing w:after="60" w:before="0"/>
      </w:pPr>
      <w:r>
        <w:rPr>
          <w:rFonts w:ascii="Calibri" w:hAnsi="Calibri"/>
          <w:b w:val="0"/>
          <w:i w:val="0"/>
          <w:color w:val="404040"/>
          <w:sz w:val="19"/>
        </w:rPr>
        <w:t>México clasifica el 77% de su territorio como árido o semiárido (CONAGUA, 2023). La agricultura consume el 76% del agua dulce nacional. De 653 acuíferos, 157 están sobreexplotados. El Valle del Yaqui aporta &gt;12% de la producción nacional de trigo; su viabilidad hídrica es un asunto de seguridad alimentaria nacional.</w:t>
      </w:r>
    </w:p>
    <w:p>
      <w:pPr>
        <w:pStyle w:val="Heading2"/>
        <w:pBdr>
          <w:bottom w:val="single" w:sz="4" w:space="1" w:color="2E75B6"/>
        </w:pBdr>
      </w:pPr>
      <w:r>
        <w:t>2.2  PESTEL + Panorama Competitivo</w:t>
      </w:r>
    </w:p>
    <w:tbl>
      <w:tblPr>
        <w:tblStyle w:val="TableGrid"/>
        <w:tblW w:type="auto" w:w="0"/>
        <w:jc w:val="left"/>
        <w:tblLook w:firstColumn="1" w:firstRow="1" w:lastColumn="0" w:lastRow="0" w:noHBand="0" w:noVBand="1" w:val="04A0"/>
      </w:tblPr>
      <w:tblGrid>
        <w:gridCol w:w="3137"/>
        <w:gridCol w:w="3137"/>
        <w:gridCol w:w="3137"/>
      </w:tblGrid>
      <w:tr>
        <w:tc>
          <w:tcPr>
            <w:tcW w:type="dxa" w:w="1134"/>
            <w:shd w:val="clear" w:color="auto" w:fill="1F497D"/>
            <w:vAlign w:val="center"/>
          </w:tcPr>
          <w:p>
            <w:pPr>
              <w:spacing w:before="40" w:after="40"/>
            </w:pPr>
            <w:r>
              <w:rPr>
                <w:rFonts w:ascii="Calibri" w:hAnsi="Calibri"/>
                <w:b/>
                <w:color w:val="FFFFFF"/>
                <w:sz w:val="17"/>
              </w:rPr>
              <w:t>Dimensión</w:t>
            </w:r>
          </w:p>
        </w:tc>
        <w:tc>
          <w:tcPr>
            <w:tcW w:type="dxa" w:w="2551"/>
            <w:shd w:val="clear" w:color="auto" w:fill="1F497D"/>
            <w:vAlign w:val="center"/>
          </w:tcPr>
          <w:p>
            <w:pPr>
              <w:spacing w:before="40" w:after="40"/>
            </w:pPr>
            <w:r>
              <w:rPr>
                <w:rFonts w:ascii="Calibri" w:hAnsi="Calibri"/>
                <w:b/>
                <w:color w:val="FFFFFF"/>
                <w:sz w:val="17"/>
              </w:rPr>
              <w:t>Factor clave</w:t>
            </w:r>
          </w:p>
        </w:tc>
        <w:tc>
          <w:tcPr>
            <w:tcW w:type="dxa" w:w="5726"/>
            <w:shd w:val="clear" w:color="auto" w:fill="1F497D"/>
            <w:vAlign w:val="center"/>
          </w:tcPr>
          <w:p>
            <w:pPr>
              <w:spacing w:before="40" w:after="40"/>
            </w:pPr>
            <w:r>
              <w:rPr>
                <w:rFonts w:ascii="Calibri" w:hAnsi="Calibri"/>
                <w:b/>
                <w:color w:val="FFFFFF"/>
                <w:sz w:val="17"/>
              </w:rPr>
              <w:t>Impacto</w:t>
            </w:r>
          </w:p>
        </w:tc>
      </w:tr>
      <w:tr>
        <w:tc>
          <w:tcPr>
            <w:tcW w:type="dxa" w:w="1134"/>
            <w:shd w:val="clear" w:color="auto" w:fill="FFFFFF"/>
            <w:vAlign w:val="center"/>
          </w:tcPr>
          <w:p>
            <w:pPr>
              <w:spacing w:before="40" w:after="40"/>
            </w:pPr>
            <w:r>
              <w:rPr>
                <w:rFonts w:ascii="Calibri" w:hAnsi="Calibri"/>
                <w:color w:val="404040"/>
                <w:sz w:val="17"/>
              </w:rPr>
              <w:t>Político</w:t>
            </w:r>
          </w:p>
        </w:tc>
        <w:tc>
          <w:tcPr>
            <w:tcW w:type="dxa" w:w="2551"/>
            <w:shd w:val="clear" w:color="auto" w:fill="FFFFFF"/>
            <w:vAlign w:val="center"/>
          </w:tcPr>
          <w:p>
            <w:pPr>
              <w:spacing w:before="40" w:after="40"/>
            </w:pPr>
            <w:r>
              <w:rPr>
                <w:rFonts w:ascii="Calibri" w:hAnsi="Calibri"/>
                <w:color w:val="404040"/>
                <w:sz w:val="17"/>
              </w:rPr>
              <w:t>Programa Nacional Hídrico 2030</w:t>
            </w:r>
          </w:p>
        </w:tc>
        <w:tc>
          <w:tcPr>
            <w:tcW w:type="dxa" w:w="5726"/>
            <w:shd w:val="clear" w:color="auto" w:fill="FFFFFF"/>
            <w:vAlign w:val="center"/>
          </w:tcPr>
          <w:p>
            <w:pPr>
              <w:spacing w:before="40" w:after="40"/>
            </w:pPr>
            <w:r>
              <w:rPr>
                <w:rFonts w:ascii="Calibri" w:hAnsi="Calibri"/>
                <w:color w:val="404040"/>
                <w:sz w:val="17"/>
              </w:rPr>
              <w:t>Favorable — alinea con metas CONAGUA</w:t>
            </w:r>
          </w:p>
        </w:tc>
      </w:tr>
      <w:tr>
        <w:tc>
          <w:tcPr>
            <w:tcW w:type="dxa" w:w="1134"/>
            <w:shd w:val="clear" w:color="auto" w:fill="DDEAF7"/>
            <w:vAlign w:val="center"/>
          </w:tcPr>
          <w:p>
            <w:pPr>
              <w:spacing w:before="40" w:after="40"/>
            </w:pPr>
            <w:r>
              <w:rPr>
                <w:rFonts w:ascii="Calibri" w:hAnsi="Calibri"/>
                <w:color w:val="404040"/>
                <w:sz w:val="17"/>
              </w:rPr>
              <w:t>Económico</w:t>
            </w:r>
          </w:p>
        </w:tc>
        <w:tc>
          <w:tcPr>
            <w:tcW w:type="dxa" w:w="2551"/>
            <w:shd w:val="clear" w:color="auto" w:fill="DDEAF7"/>
            <w:vAlign w:val="center"/>
          </w:tcPr>
          <w:p>
            <w:pPr>
              <w:spacing w:before="40" w:after="40"/>
            </w:pPr>
            <w:r>
              <w:rPr>
                <w:rFonts w:ascii="Calibri" w:hAnsi="Calibri"/>
                <w:color w:val="404040"/>
                <w:sz w:val="17"/>
              </w:rPr>
              <w:t>CFE 9-CU $1.68 MXN/m³ bombeo 80m</w:t>
            </w:r>
          </w:p>
        </w:tc>
        <w:tc>
          <w:tcPr>
            <w:tcW w:type="dxa" w:w="5726"/>
            <w:shd w:val="clear" w:color="auto" w:fill="DDEAF7"/>
            <w:vAlign w:val="center"/>
          </w:tcPr>
          <w:p>
            <w:pPr>
              <w:spacing w:before="40" w:after="40"/>
            </w:pPr>
            <w:r>
              <w:rPr>
                <w:rFonts w:ascii="Calibri" w:hAnsi="Calibri"/>
                <w:color w:val="404040"/>
                <w:sz w:val="17"/>
              </w:rPr>
              <w:t>Favorable — ahorro es directamente medible</w:t>
            </w:r>
          </w:p>
        </w:tc>
      </w:tr>
      <w:tr>
        <w:tc>
          <w:tcPr>
            <w:tcW w:type="dxa" w:w="1134"/>
            <w:shd w:val="clear" w:color="auto" w:fill="FFFFFF"/>
            <w:vAlign w:val="center"/>
          </w:tcPr>
          <w:p>
            <w:pPr>
              <w:spacing w:before="40" w:after="40"/>
            </w:pPr>
            <w:r>
              <w:rPr>
                <w:rFonts w:ascii="Calibri" w:hAnsi="Calibri"/>
                <w:color w:val="404040"/>
                <w:sz w:val="17"/>
              </w:rPr>
              <w:t>Social</w:t>
            </w:r>
          </w:p>
        </w:tc>
        <w:tc>
          <w:tcPr>
            <w:tcW w:type="dxa" w:w="2551"/>
            <w:shd w:val="clear" w:color="auto" w:fill="FFFFFF"/>
            <w:vAlign w:val="center"/>
          </w:tcPr>
          <w:p>
            <w:pPr>
              <w:spacing w:before="40" w:after="40"/>
            </w:pPr>
            <w:r>
              <w:rPr>
                <w:rFonts w:ascii="Calibri" w:hAnsi="Calibri"/>
                <w:color w:val="404040"/>
                <w:sz w:val="17"/>
              </w:rPr>
              <w:t>92% agricultores DR-041 sin software</w:t>
            </w:r>
          </w:p>
        </w:tc>
        <w:tc>
          <w:tcPr>
            <w:tcW w:type="dxa" w:w="5726"/>
            <w:shd w:val="clear" w:color="auto" w:fill="FFFFFF"/>
            <w:vAlign w:val="center"/>
          </w:tcPr>
          <w:p>
            <w:pPr>
              <w:spacing w:before="40" w:after="40"/>
            </w:pPr>
            <w:r>
              <w:rPr>
                <w:rFonts w:ascii="Calibri" w:hAnsi="Calibri"/>
                <w:color w:val="404040"/>
                <w:sz w:val="17"/>
              </w:rPr>
              <w:t>Oportunidad de mercado grande</w:t>
            </w:r>
          </w:p>
        </w:tc>
      </w:tr>
      <w:tr>
        <w:tc>
          <w:tcPr>
            <w:tcW w:type="dxa" w:w="1134"/>
            <w:shd w:val="clear" w:color="auto" w:fill="DDEAF7"/>
            <w:vAlign w:val="center"/>
          </w:tcPr>
          <w:p>
            <w:pPr>
              <w:spacing w:before="40" w:after="40"/>
            </w:pPr>
            <w:r>
              <w:rPr>
                <w:rFonts w:ascii="Calibri" w:hAnsi="Calibri"/>
                <w:color w:val="404040"/>
                <w:sz w:val="17"/>
              </w:rPr>
              <w:t>Tecnológico</w:t>
            </w:r>
          </w:p>
        </w:tc>
        <w:tc>
          <w:tcPr>
            <w:tcW w:type="dxa" w:w="2551"/>
            <w:shd w:val="clear" w:color="auto" w:fill="DDEAF7"/>
            <w:vAlign w:val="center"/>
          </w:tcPr>
          <w:p>
            <w:pPr>
              <w:spacing w:before="40" w:after="40"/>
            </w:pPr>
            <w:r>
              <w:rPr>
                <w:rFonts w:ascii="Calibri" w:hAnsi="Calibri"/>
                <w:color w:val="404040"/>
                <w:sz w:val="17"/>
              </w:rPr>
              <w:t>NASA POWER API gratuita global</w:t>
            </w:r>
          </w:p>
        </w:tc>
        <w:tc>
          <w:tcPr>
            <w:tcW w:type="dxa" w:w="5726"/>
            <w:shd w:val="clear" w:color="auto" w:fill="DDEAF7"/>
            <w:vAlign w:val="center"/>
          </w:tcPr>
          <w:p>
            <w:pPr>
              <w:spacing w:before="40" w:after="40"/>
            </w:pPr>
            <w:r>
              <w:rPr>
                <w:rFonts w:ascii="Calibri" w:hAnsi="Calibri"/>
                <w:color w:val="404040"/>
                <w:sz w:val="17"/>
              </w:rPr>
              <w:t>Elimina dependencia de estaciones locales</w:t>
            </w:r>
          </w:p>
        </w:tc>
      </w:tr>
      <w:tr>
        <w:tc>
          <w:tcPr>
            <w:tcW w:type="dxa" w:w="1134"/>
            <w:shd w:val="clear" w:color="auto" w:fill="FFFFFF"/>
            <w:vAlign w:val="center"/>
          </w:tcPr>
          <w:p>
            <w:pPr>
              <w:spacing w:before="40" w:after="40"/>
            </w:pPr>
            <w:r>
              <w:rPr>
                <w:rFonts w:ascii="Calibri" w:hAnsi="Calibri"/>
                <w:color w:val="404040"/>
                <w:sz w:val="17"/>
              </w:rPr>
              <w:t>Ecológico</w:t>
            </w:r>
          </w:p>
        </w:tc>
        <w:tc>
          <w:tcPr>
            <w:tcW w:type="dxa" w:w="2551"/>
            <w:shd w:val="clear" w:color="auto" w:fill="FFFFFF"/>
            <w:vAlign w:val="center"/>
          </w:tcPr>
          <w:p>
            <w:pPr>
              <w:spacing w:before="40" w:after="40"/>
            </w:pPr>
            <w:r>
              <w:rPr>
                <w:rFonts w:ascii="Calibri" w:hAnsi="Calibri"/>
                <w:color w:val="404040"/>
                <w:sz w:val="17"/>
              </w:rPr>
              <w:t>Sobreexplotación acuífera creciente</w:t>
            </w:r>
          </w:p>
        </w:tc>
        <w:tc>
          <w:tcPr>
            <w:tcW w:type="dxa" w:w="5726"/>
            <w:shd w:val="clear" w:color="auto" w:fill="FFFFFF"/>
            <w:vAlign w:val="center"/>
          </w:tcPr>
          <w:p>
            <w:pPr>
              <w:spacing w:before="40" w:after="40"/>
            </w:pPr>
            <w:r>
              <w:rPr>
                <w:rFonts w:ascii="Calibri" w:hAnsi="Calibri"/>
                <w:color w:val="404040"/>
                <w:sz w:val="17"/>
              </w:rPr>
              <w:t>MILPÍN alineado con reducción de extracción</w:t>
            </w:r>
          </w:p>
        </w:tc>
      </w:tr>
      <w:tr>
        <w:tc>
          <w:tcPr>
            <w:tcW w:type="dxa" w:w="1134"/>
            <w:shd w:val="clear" w:color="auto" w:fill="DDEAF7"/>
            <w:vAlign w:val="center"/>
          </w:tcPr>
          <w:p>
            <w:pPr>
              <w:spacing w:before="40" w:after="40"/>
            </w:pPr>
            <w:r>
              <w:rPr>
                <w:rFonts w:ascii="Calibri" w:hAnsi="Calibri"/>
                <w:color w:val="404040"/>
                <w:sz w:val="17"/>
              </w:rPr>
              <w:t>Legal</w:t>
            </w:r>
          </w:p>
        </w:tc>
        <w:tc>
          <w:tcPr>
            <w:tcW w:type="dxa" w:w="2551"/>
            <w:shd w:val="clear" w:color="auto" w:fill="DDEAF7"/>
            <w:vAlign w:val="center"/>
          </w:tcPr>
          <w:p>
            <w:pPr>
              <w:spacing w:before="40" w:after="40"/>
            </w:pPr>
            <w:r>
              <w:rPr>
                <w:rFonts w:ascii="Calibri" w:hAnsi="Calibri"/>
                <w:color w:val="404040"/>
                <w:sz w:val="17"/>
              </w:rPr>
              <w:t>Concesiones CONAGUA por volumen</w:t>
            </w:r>
          </w:p>
        </w:tc>
        <w:tc>
          <w:tcPr>
            <w:tcW w:type="dxa" w:w="5726"/>
            <w:shd w:val="clear" w:color="auto" w:fill="DDEAF7"/>
            <w:vAlign w:val="center"/>
          </w:tcPr>
          <w:p>
            <w:pPr>
              <w:spacing w:before="40" w:after="40"/>
            </w:pPr>
            <w:r>
              <w:rPr>
                <w:rFonts w:ascii="Calibri" w:hAnsi="Calibri"/>
                <w:color w:val="404040"/>
                <w:sz w:val="17"/>
              </w:rPr>
              <w:t>Neutro — MILPÍN optimiza dentro del concesionado</w:t>
            </w:r>
          </w:p>
        </w:tc>
      </w:tr>
    </w:tbl>
    <w:p>
      <w:pPr>
        <w:spacing w:after="60"/>
      </w:pPr>
    </w:p>
    <w:tbl>
      <w:tblPr>
        <w:tblStyle w:val="TableGrid"/>
        <w:tblW w:type="auto" w:w="0"/>
        <w:jc w:val="left"/>
        <w:tblLook w:firstColumn="1" w:firstRow="1" w:lastColumn="0" w:lastRow="0" w:noHBand="0" w:noVBand="1" w:val="04A0"/>
      </w:tblPr>
      <w:tblGrid>
        <w:gridCol w:w="3137"/>
        <w:gridCol w:w="3137"/>
        <w:gridCol w:w="3137"/>
      </w:tblGrid>
      <w:tr>
        <w:tc>
          <w:tcPr>
            <w:tcW w:type="dxa" w:w="1701"/>
            <w:shd w:val="clear" w:color="auto" w:fill="1F497D"/>
            <w:vAlign w:val="center"/>
          </w:tcPr>
          <w:p>
            <w:pPr>
              <w:spacing w:before="40" w:after="40"/>
            </w:pPr>
            <w:r>
              <w:rPr>
                <w:rFonts w:ascii="Calibri" w:hAnsi="Calibri"/>
                <w:b/>
                <w:color w:val="FFFFFF"/>
                <w:sz w:val="17"/>
              </w:rPr>
              <w:t>Competidor</w:t>
            </w:r>
          </w:p>
        </w:tc>
        <w:tc>
          <w:tcPr>
            <w:tcW w:type="dxa" w:w="2268"/>
            <w:shd w:val="clear" w:color="auto" w:fill="1F497D"/>
            <w:vAlign w:val="center"/>
          </w:tcPr>
          <w:p>
            <w:pPr>
              <w:spacing w:before="40" w:after="40"/>
            </w:pPr>
            <w:r>
              <w:rPr>
                <w:rFonts w:ascii="Calibri" w:hAnsi="Calibri"/>
                <w:b/>
                <w:color w:val="FFFFFF"/>
                <w:sz w:val="17"/>
              </w:rPr>
              <w:t>Fortaleza</w:t>
            </w:r>
          </w:p>
        </w:tc>
        <w:tc>
          <w:tcPr>
            <w:tcW w:type="dxa" w:w="5443"/>
            <w:shd w:val="clear" w:color="auto" w:fill="1F497D"/>
            <w:vAlign w:val="center"/>
          </w:tcPr>
          <w:p>
            <w:pPr>
              <w:spacing w:before="40" w:after="40"/>
            </w:pPr>
            <w:r>
              <w:rPr>
                <w:rFonts w:ascii="Calibri" w:hAnsi="Calibri"/>
                <w:b/>
                <w:color w:val="FFFFFF"/>
                <w:sz w:val="17"/>
              </w:rPr>
              <w:t>Debilidad vs. MILPÍN</w:t>
            </w:r>
          </w:p>
        </w:tc>
      </w:tr>
      <w:tr>
        <w:tc>
          <w:tcPr>
            <w:tcW w:type="dxa" w:w="1701"/>
            <w:shd w:val="clear" w:color="auto" w:fill="FFFFFF"/>
            <w:vAlign w:val="center"/>
          </w:tcPr>
          <w:p>
            <w:pPr>
              <w:spacing w:before="40" w:after="40"/>
            </w:pPr>
            <w:r>
              <w:rPr>
                <w:rFonts w:ascii="Calibri" w:hAnsi="Calibri"/>
                <w:color w:val="404040"/>
                <w:sz w:val="17"/>
              </w:rPr>
              <w:t>SAP Agri</w:t>
            </w:r>
          </w:p>
        </w:tc>
        <w:tc>
          <w:tcPr>
            <w:tcW w:type="dxa" w:w="2268"/>
            <w:shd w:val="clear" w:color="auto" w:fill="FFFFFF"/>
            <w:vAlign w:val="center"/>
          </w:tcPr>
          <w:p>
            <w:pPr>
              <w:spacing w:before="40" w:after="40"/>
            </w:pPr>
            <w:r>
              <w:rPr>
                <w:rFonts w:ascii="Calibri" w:hAnsi="Calibri"/>
                <w:color w:val="404040"/>
                <w:sz w:val="17"/>
              </w:rPr>
              <w:t>Marca global, ERP</w:t>
            </w:r>
          </w:p>
        </w:tc>
        <w:tc>
          <w:tcPr>
            <w:tcW w:type="dxa" w:w="5443"/>
            <w:shd w:val="clear" w:color="auto" w:fill="FFFFFF"/>
            <w:vAlign w:val="center"/>
          </w:tcPr>
          <w:p>
            <w:pPr>
              <w:spacing w:before="40" w:after="40"/>
            </w:pPr>
            <w:r>
              <w:rPr>
                <w:rFonts w:ascii="Calibri" w:hAnsi="Calibri"/>
                <w:color w:val="404040"/>
                <w:sz w:val="17"/>
              </w:rPr>
              <w:t>Precio &gt;$500K USD, inglés, sin FAO-56</w:t>
            </w:r>
          </w:p>
        </w:tc>
      </w:tr>
      <w:tr>
        <w:tc>
          <w:tcPr>
            <w:tcW w:type="dxa" w:w="1701"/>
            <w:shd w:val="clear" w:color="auto" w:fill="DDEAF7"/>
            <w:vAlign w:val="center"/>
          </w:tcPr>
          <w:p>
            <w:pPr>
              <w:spacing w:before="40" w:after="40"/>
            </w:pPr>
            <w:r>
              <w:rPr>
                <w:rFonts w:ascii="Calibri" w:hAnsi="Calibri"/>
                <w:color w:val="404040"/>
                <w:sz w:val="17"/>
              </w:rPr>
              <w:t>Netafim FieldNET</w:t>
            </w:r>
          </w:p>
        </w:tc>
        <w:tc>
          <w:tcPr>
            <w:tcW w:type="dxa" w:w="2268"/>
            <w:shd w:val="clear" w:color="auto" w:fill="DDEAF7"/>
            <w:vAlign w:val="center"/>
          </w:tcPr>
          <w:p>
            <w:pPr>
              <w:spacing w:before="40" w:after="40"/>
            </w:pPr>
            <w:r>
              <w:rPr>
                <w:rFonts w:ascii="Calibri" w:hAnsi="Calibri"/>
                <w:color w:val="404040"/>
                <w:sz w:val="17"/>
              </w:rPr>
              <w:t>Control automático</w:t>
            </w:r>
          </w:p>
        </w:tc>
        <w:tc>
          <w:tcPr>
            <w:tcW w:type="dxa" w:w="5443"/>
            <w:shd w:val="clear" w:color="auto" w:fill="DDEAF7"/>
            <w:vAlign w:val="center"/>
          </w:tcPr>
          <w:p>
            <w:pPr>
              <w:spacing w:before="40" w:after="40"/>
            </w:pPr>
            <w:r>
              <w:rPr>
                <w:rFonts w:ascii="Calibri" w:hAnsi="Calibri"/>
                <w:color w:val="404040"/>
                <w:sz w:val="17"/>
              </w:rPr>
              <w:t>Requiere IoT costoso, inaccesible PyME</w:t>
            </w:r>
          </w:p>
        </w:tc>
      </w:tr>
      <w:tr>
        <w:tc>
          <w:tcPr>
            <w:tcW w:type="dxa" w:w="1701"/>
            <w:shd w:val="clear" w:color="auto" w:fill="FFFFFF"/>
            <w:vAlign w:val="center"/>
          </w:tcPr>
          <w:p>
            <w:pPr>
              <w:spacing w:before="40" w:after="40"/>
            </w:pPr>
            <w:r>
              <w:rPr>
                <w:rFonts w:ascii="Calibri" w:hAnsi="Calibri"/>
                <w:color w:val="404040"/>
                <w:sz w:val="17"/>
              </w:rPr>
              <w:t>IrriSAT / FAO Water</w:t>
            </w:r>
          </w:p>
        </w:tc>
        <w:tc>
          <w:tcPr>
            <w:tcW w:type="dxa" w:w="2268"/>
            <w:shd w:val="clear" w:color="auto" w:fill="FFFFFF"/>
            <w:vAlign w:val="center"/>
          </w:tcPr>
          <w:p>
            <w:pPr>
              <w:spacing w:before="40" w:after="40"/>
            </w:pPr>
            <w:r>
              <w:rPr>
                <w:rFonts w:ascii="Calibri" w:hAnsi="Calibri"/>
                <w:color w:val="404040"/>
                <w:sz w:val="17"/>
              </w:rPr>
              <w:t>Cálculo ETP básico</w:t>
            </w:r>
          </w:p>
        </w:tc>
        <w:tc>
          <w:tcPr>
            <w:tcW w:type="dxa" w:w="5443"/>
            <w:shd w:val="clear" w:color="auto" w:fill="FFFFFF"/>
            <w:vAlign w:val="center"/>
          </w:tcPr>
          <w:p>
            <w:pPr>
              <w:spacing w:before="40" w:after="40"/>
            </w:pPr>
            <w:r>
              <w:rPr>
                <w:rFonts w:ascii="Calibri" w:hAnsi="Calibri"/>
                <w:color w:val="404040"/>
                <w:sz w:val="17"/>
              </w:rPr>
              <w:t>Sin GIS, sin voz, sin ML, sin historial</w:t>
            </w:r>
          </w:p>
        </w:tc>
      </w:tr>
      <w:tr>
        <w:tc>
          <w:tcPr>
            <w:tcW w:type="dxa" w:w="1701"/>
            <w:shd w:val="clear" w:color="auto" w:fill="DDEAF7"/>
            <w:vAlign w:val="center"/>
          </w:tcPr>
          <w:p>
            <w:pPr>
              <w:spacing w:before="40" w:after="40"/>
            </w:pPr>
            <w:r>
              <w:rPr>
                <w:rFonts w:ascii="Calibri" w:hAnsi="Calibri"/>
                <w:color w:val="404040"/>
                <w:sz w:val="17"/>
              </w:rPr>
              <w:t>Consultores locales</w:t>
            </w:r>
          </w:p>
        </w:tc>
        <w:tc>
          <w:tcPr>
            <w:tcW w:type="dxa" w:w="2268"/>
            <w:shd w:val="clear" w:color="auto" w:fill="DDEAF7"/>
            <w:vAlign w:val="center"/>
          </w:tcPr>
          <w:p>
            <w:pPr>
              <w:spacing w:before="40" w:after="40"/>
            </w:pPr>
            <w:r>
              <w:rPr>
                <w:rFonts w:ascii="Calibri" w:hAnsi="Calibri"/>
                <w:color w:val="404040"/>
                <w:sz w:val="17"/>
              </w:rPr>
              <w:t>Confianza del agricultor</w:t>
            </w:r>
          </w:p>
        </w:tc>
        <w:tc>
          <w:tcPr>
            <w:tcW w:type="dxa" w:w="5443"/>
            <w:shd w:val="clear" w:color="auto" w:fill="DDEAF7"/>
            <w:vAlign w:val="center"/>
          </w:tcPr>
          <w:p>
            <w:pPr>
              <w:spacing w:before="40" w:after="40"/>
            </w:pPr>
            <w:r>
              <w:rPr>
                <w:rFonts w:ascii="Calibri" w:hAnsi="Calibri"/>
                <w:color w:val="404040"/>
                <w:sz w:val="17"/>
              </w:rPr>
              <w:t>No escalable, caro, sin datos satelitales</w:t>
            </w:r>
          </w:p>
        </w:tc>
      </w:tr>
      <w:tr>
        <w:tc>
          <w:tcPr>
            <w:tcW w:type="dxa" w:w="1701"/>
            <w:shd w:val="clear" w:color="auto" w:fill="FFFFFF"/>
            <w:vAlign w:val="center"/>
          </w:tcPr>
          <w:p>
            <w:pPr>
              <w:spacing w:before="40" w:after="40"/>
            </w:pPr>
            <w:r>
              <w:rPr>
                <w:rFonts w:ascii="Calibri" w:hAnsi="Calibri"/>
                <w:color w:val="404040"/>
                <w:sz w:val="17"/>
              </w:rPr>
              <w:t>MILPÍN AgTech</w:t>
            </w:r>
          </w:p>
        </w:tc>
        <w:tc>
          <w:tcPr>
            <w:tcW w:type="dxa" w:w="2268"/>
            <w:shd w:val="clear" w:color="auto" w:fill="FFFFFF"/>
            <w:vAlign w:val="center"/>
          </w:tcPr>
          <w:p>
            <w:pPr>
              <w:spacing w:before="40" w:after="40"/>
            </w:pPr>
            <w:r>
              <w:rPr>
                <w:rFonts w:ascii="Calibri" w:hAnsi="Calibri"/>
                <w:color w:val="404040"/>
                <w:sz w:val="17"/>
              </w:rPr>
              <w:t>FAO-56 + GIS + Voz + ML integrados</w:t>
            </w:r>
          </w:p>
        </w:tc>
        <w:tc>
          <w:tcPr>
            <w:tcW w:type="dxa" w:w="5443"/>
            <w:shd w:val="clear" w:color="auto" w:fill="FFFFFF"/>
            <w:vAlign w:val="center"/>
          </w:tcPr>
          <w:p>
            <w:pPr>
              <w:spacing w:before="40" w:after="40"/>
            </w:pPr>
            <w:r>
              <w:rPr>
                <w:rFonts w:ascii="Calibri" w:hAnsi="Calibri"/>
                <w:color w:val="404040"/>
                <w:sz w:val="17"/>
              </w:rPr>
              <w:t>Pre-MVP, sin validación campo real aún</w:t>
            </w:r>
          </w:p>
        </w:tc>
      </w:tr>
    </w:tbl>
    <w:p>
      <w:pPr>
        <w:spacing w:after="60"/>
      </w:pP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2.1 — Mapa de posicionamiento competitivo: accesibilidad vs. precisión agronómica ]</w:t>
      </w:r>
    </w:p>
    <w:p>
      <w:pPr>
        <w:spacing w:after="80"/>
        <w:jc w:val="center"/>
      </w:pPr>
      <w:r>
        <w:rPr>
          <w:i/>
          <w:color w:val="606060"/>
          <w:sz w:val="16"/>
        </w:rPr>
        <w:t>Cuadrante: MILPÍN ocupa posición única — alta precisión (FAO-56) + alta accesibilidad (voz, open-source, gratis NASA)</w:t>
      </w:r>
    </w:p>
    <w:p>
      <w:pPr>
        <w:pStyle w:val="Heading1"/>
        <w:shd w:val="clear" w:color="auto" w:fill="1F497D"/>
      </w:pPr>
      <w:r>
        <w:rPr>
          <w:b/>
          <w:color w:val="FFFFFF"/>
        </w:rPr>
        <w:t>III.  Propuesta de Valor y Modelo de Negocio</w:t>
      </w:r>
    </w:p>
    <w:p>
      <w:pPr>
        <w:pStyle w:val="Heading2"/>
        <w:pBdr>
          <w:bottom w:val="single" w:sz="4" w:space="1" w:color="2E75B6"/>
        </w:pBdr>
      </w:pPr>
      <w:r>
        <w:t>3.1  Segmento y Propuesta</w:t>
      </w:r>
    </w:p>
    <w:p>
      <w:pPr>
        <w:spacing w:after="60" w:before="0"/>
      </w:pPr>
      <w:r>
        <w:rPr>
          <w:rFonts w:ascii="Calibri" w:hAnsi="Calibri"/>
          <w:b w:val="0"/>
          <w:i w:val="0"/>
          <w:color w:val="404040"/>
          <w:sz w:val="19"/>
        </w:rPr>
        <w:t>Cliente primario: productor 10–200 ha, DR-041 Módulo 3. Adulto mayor de 40 años, alta experiencia empírica, baja adopción tecnológica. Decide el riego al amanecer, en campo, con o sin conectividad estable. Valora reducción de costos sobre funcionalidades avanzadas.</w:t>
      </w:r>
    </w:p>
    <w:p>
      <w:pPr>
        <w:spacing w:after="80" w:before="0"/>
      </w:pPr>
      <w:r>
        <w:rPr>
          <w:rFonts w:ascii="Calibri" w:hAnsi="Calibri"/>
          <w:b w:val="0"/>
          <w:i w:val="0"/>
          <w:color w:val="404040"/>
          <w:sz w:val="19"/>
        </w:rPr>
        <w:t>Propuesta central: saber cada mañana y por parcela exactamente cuántos m³ de agua aplicar, a qué costo, y con qué urgencia. Esta información hoy es inexistente para el 92% del DR-041.</w:t>
      </w:r>
    </w:p>
    <w:p>
      <w:pPr>
        <w:pStyle w:val="Heading2"/>
        <w:pBdr>
          <w:bottom w:val="single" w:sz="4" w:space="1" w:color="2E75B6"/>
        </w:pBdr>
      </w:pPr>
      <w:r>
        <w:t>3.2  Business Model Canvas</w:t>
      </w:r>
    </w:p>
    <w:tbl>
      <w:tblPr>
        <w:tblStyle w:val="TableGrid"/>
        <w:tblW w:type="auto" w:w="0"/>
        <w:jc w:val="left"/>
        <w:tblLook w:firstColumn="1" w:firstRow="1" w:lastColumn="0" w:lastRow="0" w:noHBand="0" w:noVBand="1" w:val="04A0"/>
      </w:tblPr>
      <w:tblGrid>
        <w:gridCol w:w="4706"/>
        <w:gridCol w:w="4706"/>
      </w:tblGrid>
      <w:tr>
        <w:tc>
          <w:tcPr>
            <w:tcW w:type="dxa" w:w="1984"/>
            <w:shd w:val="clear" w:color="auto" w:fill="1F497D"/>
            <w:vAlign w:val="center"/>
          </w:tcPr>
          <w:p>
            <w:pPr>
              <w:spacing w:before="40" w:after="40"/>
            </w:pPr>
            <w:r>
              <w:rPr>
                <w:rFonts w:ascii="Calibri" w:hAnsi="Calibri"/>
                <w:b/>
                <w:color w:val="FFFFFF"/>
                <w:sz w:val="17"/>
              </w:rPr>
              <w:t>Bloque</w:t>
            </w:r>
          </w:p>
        </w:tc>
        <w:tc>
          <w:tcPr>
            <w:tcW w:type="dxa" w:w="7427"/>
            <w:shd w:val="clear" w:color="auto" w:fill="1F497D"/>
            <w:vAlign w:val="center"/>
          </w:tcPr>
          <w:p>
            <w:pPr>
              <w:spacing w:before="40" w:after="40"/>
            </w:pPr>
            <w:r>
              <w:rPr>
                <w:rFonts w:ascii="Calibri" w:hAnsi="Calibri"/>
                <w:b/>
                <w:color w:val="FFFFFF"/>
                <w:sz w:val="17"/>
              </w:rPr>
              <w:t>Contenido</w:t>
            </w:r>
          </w:p>
        </w:tc>
      </w:tr>
      <w:tr>
        <w:tc>
          <w:tcPr>
            <w:tcW w:type="dxa" w:w="1984"/>
            <w:shd w:val="clear" w:color="auto" w:fill="FFFFFF"/>
            <w:vAlign w:val="center"/>
          </w:tcPr>
          <w:p>
            <w:pPr>
              <w:spacing w:before="40" w:after="40"/>
            </w:pPr>
            <w:r>
              <w:rPr>
                <w:rFonts w:ascii="Calibri" w:hAnsi="Calibri"/>
                <w:color w:val="404040"/>
                <w:sz w:val="17"/>
              </w:rPr>
              <w:t>Socios Clave</w:t>
            </w:r>
          </w:p>
        </w:tc>
        <w:tc>
          <w:tcPr>
            <w:tcW w:type="dxa" w:w="7427"/>
            <w:shd w:val="clear" w:color="auto" w:fill="FFFFFF"/>
            <w:vAlign w:val="center"/>
          </w:tcPr>
          <w:p>
            <w:pPr>
              <w:spacing w:before="40" w:after="40"/>
            </w:pPr>
            <w:r>
              <w:rPr>
                <w:rFonts w:ascii="Calibri" w:hAnsi="Calibri"/>
                <w:color w:val="404040"/>
                <w:sz w:val="17"/>
              </w:rPr>
              <w:t>CONAGUA / DR-041, NASA (API), universidades agronómicas (validación Kc), CFE (tarifas)</w:t>
            </w:r>
          </w:p>
        </w:tc>
      </w:tr>
      <w:tr>
        <w:tc>
          <w:tcPr>
            <w:tcW w:type="dxa" w:w="1984"/>
            <w:shd w:val="clear" w:color="auto" w:fill="DDEAF7"/>
            <w:vAlign w:val="center"/>
          </w:tcPr>
          <w:p>
            <w:pPr>
              <w:spacing w:before="40" w:after="40"/>
            </w:pPr>
            <w:r>
              <w:rPr>
                <w:rFonts w:ascii="Calibri" w:hAnsi="Calibri"/>
                <w:color w:val="404040"/>
                <w:sz w:val="17"/>
              </w:rPr>
              <w:t>Actividades Clave</w:t>
            </w:r>
          </w:p>
        </w:tc>
        <w:tc>
          <w:tcPr>
            <w:tcW w:type="dxa" w:w="7427"/>
            <w:shd w:val="clear" w:color="auto" w:fill="DDEAF7"/>
            <w:vAlign w:val="center"/>
          </w:tcPr>
          <w:p>
            <w:pPr>
              <w:spacing w:before="40" w:after="40"/>
            </w:pPr>
            <w:r>
              <w:rPr>
                <w:rFonts w:ascii="Calibri" w:hAnsi="Calibri"/>
                <w:color w:val="404040"/>
                <w:sz w:val="17"/>
              </w:rPr>
              <w:t>Desarrollo FAO-56, ingesta diaria NASA POWER, soporte campo, entrenamiento ML</w:t>
            </w:r>
          </w:p>
        </w:tc>
      </w:tr>
      <w:tr>
        <w:tc>
          <w:tcPr>
            <w:tcW w:type="dxa" w:w="1984"/>
            <w:shd w:val="clear" w:color="auto" w:fill="FFFFFF"/>
            <w:vAlign w:val="center"/>
          </w:tcPr>
          <w:p>
            <w:pPr>
              <w:spacing w:before="40" w:after="40"/>
            </w:pPr>
            <w:r>
              <w:rPr>
                <w:rFonts w:ascii="Calibri" w:hAnsi="Calibri"/>
                <w:color w:val="404040"/>
                <w:sz w:val="17"/>
              </w:rPr>
              <w:t>Propuesta de Valor</w:t>
            </w:r>
          </w:p>
        </w:tc>
        <w:tc>
          <w:tcPr>
            <w:tcW w:type="dxa" w:w="7427"/>
            <w:shd w:val="clear" w:color="auto" w:fill="FFFFFF"/>
            <w:vAlign w:val="center"/>
          </w:tcPr>
          <w:p>
            <w:pPr>
              <w:spacing w:before="40" w:after="40"/>
            </w:pPr>
            <w:r>
              <w:rPr>
                <w:rFonts w:ascii="Calibri" w:hAnsi="Calibri"/>
                <w:color w:val="404040"/>
                <w:sz w:val="17"/>
              </w:rPr>
              <w:t>Recomendación diaria por parcela: m³, costo, urgencia. Cero dato manual de campo.</w:t>
            </w:r>
          </w:p>
        </w:tc>
      </w:tr>
      <w:tr>
        <w:tc>
          <w:tcPr>
            <w:tcW w:type="dxa" w:w="1984"/>
            <w:shd w:val="clear" w:color="auto" w:fill="DDEAF7"/>
            <w:vAlign w:val="center"/>
          </w:tcPr>
          <w:p>
            <w:pPr>
              <w:spacing w:before="40" w:after="40"/>
            </w:pPr>
            <w:r>
              <w:rPr>
                <w:rFonts w:ascii="Calibri" w:hAnsi="Calibri"/>
                <w:color w:val="404040"/>
                <w:sz w:val="17"/>
              </w:rPr>
              <w:t>Relación con Clientes</w:t>
            </w:r>
          </w:p>
        </w:tc>
        <w:tc>
          <w:tcPr>
            <w:tcW w:type="dxa" w:w="7427"/>
            <w:shd w:val="clear" w:color="auto" w:fill="DDEAF7"/>
            <w:vAlign w:val="center"/>
          </w:tcPr>
          <w:p>
            <w:pPr>
              <w:spacing w:before="40" w:after="40"/>
            </w:pPr>
            <w:r>
              <w:rPr>
                <w:rFonts w:ascii="Calibri" w:hAnsi="Calibri"/>
                <w:color w:val="404040"/>
                <w:sz w:val="17"/>
              </w:rPr>
              <w:t>Capacitación presencial ciclo 1, soporte voz/WhatsApp, retroalimentación en sistema</w:t>
            </w:r>
          </w:p>
        </w:tc>
      </w:tr>
      <w:tr>
        <w:tc>
          <w:tcPr>
            <w:tcW w:type="dxa" w:w="1984"/>
            <w:shd w:val="clear" w:color="auto" w:fill="FFFFFF"/>
            <w:vAlign w:val="center"/>
          </w:tcPr>
          <w:p>
            <w:pPr>
              <w:spacing w:before="40" w:after="40"/>
            </w:pPr>
            <w:r>
              <w:rPr>
                <w:rFonts w:ascii="Calibri" w:hAnsi="Calibri"/>
                <w:color w:val="404040"/>
                <w:sz w:val="17"/>
              </w:rPr>
              <w:t>Segmento Clientes</w:t>
            </w:r>
          </w:p>
        </w:tc>
        <w:tc>
          <w:tcPr>
            <w:tcW w:type="dxa" w:w="7427"/>
            <w:shd w:val="clear" w:color="auto" w:fill="FFFFFF"/>
            <w:vAlign w:val="center"/>
          </w:tcPr>
          <w:p>
            <w:pPr>
              <w:spacing w:before="40" w:after="40"/>
            </w:pPr>
            <w:r>
              <w:rPr>
                <w:rFonts w:ascii="Calibri" w:hAnsi="Calibri"/>
                <w:color w:val="404040"/>
                <w:sz w:val="17"/>
              </w:rPr>
              <w:t>Productores 10–200 ha DR-041; módulos de riego; CONAGUA como cliente institucional</w:t>
            </w:r>
          </w:p>
        </w:tc>
      </w:tr>
      <w:tr>
        <w:tc>
          <w:tcPr>
            <w:tcW w:type="dxa" w:w="1984"/>
            <w:shd w:val="clear" w:color="auto" w:fill="DDEAF7"/>
            <w:vAlign w:val="center"/>
          </w:tcPr>
          <w:p>
            <w:pPr>
              <w:spacing w:before="40" w:after="40"/>
            </w:pPr>
            <w:r>
              <w:rPr>
                <w:rFonts w:ascii="Calibri" w:hAnsi="Calibri"/>
                <w:color w:val="404040"/>
                <w:sz w:val="17"/>
              </w:rPr>
              <w:t>Fuentes de Ingreso</w:t>
            </w:r>
          </w:p>
        </w:tc>
        <w:tc>
          <w:tcPr>
            <w:tcW w:type="dxa" w:w="7427"/>
            <w:shd w:val="clear" w:color="auto" w:fill="DDEAF7"/>
            <w:vAlign w:val="center"/>
          </w:tcPr>
          <w:p>
            <w:pPr>
              <w:spacing w:before="40" w:after="40"/>
            </w:pPr>
            <w:r>
              <w:rPr>
                <w:rFonts w:ascii="Calibri" w:hAnsi="Calibri"/>
                <w:color w:val="404040"/>
                <w:sz w:val="17"/>
              </w:rPr>
              <w:t>SaaS $600 MXN/ha/ciclo | Pago por desempeño 15% del ahorro | Contratos institucionales</w:t>
            </w:r>
          </w:p>
        </w:tc>
      </w:tr>
      <w:tr>
        <w:tc>
          <w:tcPr>
            <w:tcW w:type="dxa" w:w="1984"/>
            <w:shd w:val="clear" w:color="auto" w:fill="FFFFFF"/>
            <w:vAlign w:val="center"/>
          </w:tcPr>
          <w:p>
            <w:pPr>
              <w:spacing w:before="40" w:after="40"/>
            </w:pPr>
            <w:r>
              <w:rPr>
                <w:rFonts w:ascii="Calibri" w:hAnsi="Calibri"/>
                <w:color w:val="404040"/>
                <w:sz w:val="17"/>
              </w:rPr>
              <w:t>Estructura de Costos</w:t>
            </w:r>
          </w:p>
        </w:tc>
        <w:tc>
          <w:tcPr>
            <w:tcW w:type="dxa" w:w="7427"/>
            <w:shd w:val="clear" w:color="auto" w:fill="FFFFFF"/>
            <w:vAlign w:val="center"/>
          </w:tcPr>
          <w:p>
            <w:pPr>
              <w:spacing w:before="40" w:after="40"/>
            </w:pPr>
            <w:r>
              <w:rPr>
                <w:rFonts w:ascii="Calibri" w:hAnsi="Calibri"/>
                <w:color w:val="404040"/>
                <w:sz w:val="17"/>
              </w:rPr>
              <w:t>Infraestructura cloud $144K/año, equipo técnico $360K, promotores campo $120K</w:t>
            </w:r>
          </w:p>
        </w:tc>
      </w:tr>
    </w:tbl>
    <w:p>
      <w:pPr>
        <w:spacing w:after="60"/>
      </w:pPr>
    </w:p>
    <w:p>
      <w:pPr>
        <w:pStyle w:val="Heading2"/>
        <w:pBdr>
          <w:bottom w:val="single" w:sz="4" w:space="1" w:color="2E75B6"/>
        </w:pBdr>
      </w:pPr>
      <w:r>
        <w:t>3.3  Modelo A (SaaS) vs. Modelo B (Pago por Desempeño)</w:t>
      </w:r>
    </w:p>
    <w:tbl>
      <w:tblPr>
        <w:tblStyle w:val="TableGrid"/>
        <w:tblW w:type="auto" w:w="0"/>
        <w:jc w:val="left"/>
        <w:tblLook w:firstColumn="1" w:firstRow="1" w:lastColumn="0" w:lastRow="0" w:noHBand="0" w:noVBand="1" w:val="04A0"/>
      </w:tblPr>
      <w:tblGrid>
        <w:gridCol w:w="3137"/>
        <w:gridCol w:w="3137"/>
        <w:gridCol w:w="3137"/>
      </w:tblGrid>
      <w:tr>
        <w:tc>
          <w:tcPr>
            <w:tcW w:type="dxa" w:w="1984"/>
            <w:shd w:val="clear" w:color="auto" w:fill="1F497D"/>
            <w:vAlign w:val="center"/>
          </w:tcPr>
          <w:p>
            <w:pPr>
              <w:spacing w:before="40" w:after="40"/>
            </w:pPr>
            <w:r>
              <w:rPr>
                <w:rFonts w:ascii="Calibri" w:hAnsi="Calibri"/>
                <w:b/>
                <w:color w:val="FFFFFF"/>
                <w:sz w:val="17"/>
              </w:rPr>
              <w:t>Criterio</w:t>
            </w:r>
          </w:p>
        </w:tc>
        <w:tc>
          <w:tcPr>
            <w:tcW w:type="dxa" w:w="3685"/>
            <w:shd w:val="clear" w:color="auto" w:fill="1F497D"/>
            <w:vAlign w:val="center"/>
          </w:tcPr>
          <w:p>
            <w:pPr>
              <w:spacing w:before="40" w:after="40"/>
            </w:pPr>
            <w:r>
              <w:rPr>
                <w:rFonts w:ascii="Calibri" w:hAnsi="Calibri"/>
                <w:b/>
                <w:color w:val="FFFFFF"/>
                <w:sz w:val="17"/>
              </w:rPr>
              <w:t>Modelo A — SaaS $600 MXN/ha/ciclo</w:t>
            </w:r>
          </w:p>
        </w:tc>
        <w:tc>
          <w:tcPr>
            <w:tcW w:type="dxa" w:w="3742"/>
            <w:shd w:val="clear" w:color="auto" w:fill="1F497D"/>
            <w:vAlign w:val="center"/>
          </w:tcPr>
          <w:p>
            <w:pPr>
              <w:spacing w:before="40" w:after="40"/>
            </w:pPr>
            <w:r>
              <w:rPr>
                <w:rFonts w:ascii="Calibri" w:hAnsi="Calibri"/>
                <w:b/>
                <w:color w:val="FFFFFF"/>
                <w:sz w:val="17"/>
              </w:rPr>
              <w:t>Modelo B — 15% del ahorro comprobado</w:t>
            </w:r>
          </w:p>
        </w:tc>
      </w:tr>
      <w:tr>
        <w:tc>
          <w:tcPr>
            <w:tcW w:type="dxa" w:w="1984"/>
            <w:shd w:val="clear" w:color="auto" w:fill="FFFFFF"/>
            <w:vAlign w:val="center"/>
          </w:tcPr>
          <w:p>
            <w:pPr>
              <w:spacing w:before="40" w:after="40"/>
            </w:pPr>
            <w:r>
              <w:rPr>
                <w:rFonts w:ascii="Calibri" w:hAnsi="Calibri"/>
                <w:color w:val="404040"/>
                <w:sz w:val="17"/>
              </w:rPr>
              <w:t>Flujo de caja</w:t>
            </w:r>
          </w:p>
        </w:tc>
        <w:tc>
          <w:tcPr>
            <w:tcW w:type="dxa" w:w="3685"/>
            <w:shd w:val="clear" w:color="auto" w:fill="FFFFFF"/>
            <w:vAlign w:val="center"/>
          </w:tcPr>
          <w:p>
            <w:pPr>
              <w:spacing w:before="40" w:after="40"/>
            </w:pPr>
            <w:r>
              <w:rPr>
                <w:rFonts w:ascii="Calibri" w:hAnsi="Calibri"/>
                <w:color w:val="404040"/>
                <w:sz w:val="17"/>
              </w:rPr>
              <w:t>Predecible — cobro al inicio del ciclo</w:t>
            </w:r>
          </w:p>
        </w:tc>
        <w:tc>
          <w:tcPr>
            <w:tcW w:type="dxa" w:w="3742"/>
            <w:shd w:val="clear" w:color="auto" w:fill="FFFFFF"/>
            <w:vAlign w:val="center"/>
          </w:tcPr>
          <w:p>
            <w:pPr>
              <w:spacing w:before="40" w:after="40"/>
            </w:pPr>
            <w:r>
              <w:rPr>
                <w:rFonts w:ascii="Calibri" w:hAnsi="Calibri"/>
                <w:color w:val="404040"/>
                <w:sz w:val="17"/>
              </w:rPr>
              <w:t>Variable — depende del ahorro real</w:t>
            </w:r>
          </w:p>
        </w:tc>
      </w:tr>
      <w:tr>
        <w:tc>
          <w:tcPr>
            <w:tcW w:type="dxa" w:w="1984"/>
            <w:shd w:val="clear" w:color="auto" w:fill="DDEAF7"/>
            <w:vAlign w:val="center"/>
          </w:tcPr>
          <w:p>
            <w:pPr>
              <w:spacing w:before="40" w:after="40"/>
            </w:pPr>
            <w:r>
              <w:rPr>
                <w:rFonts w:ascii="Calibri" w:hAnsi="Calibri"/>
                <w:color w:val="404040"/>
                <w:sz w:val="17"/>
              </w:rPr>
              <w:t>Barrera de entrada</w:t>
            </w:r>
          </w:p>
        </w:tc>
        <w:tc>
          <w:tcPr>
            <w:tcW w:type="dxa" w:w="3685"/>
            <w:shd w:val="clear" w:color="auto" w:fill="DDEAF7"/>
            <w:vAlign w:val="center"/>
          </w:tcPr>
          <w:p>
            <w:pPr>
              <w:spacing w:before="40" w:after="40"/>
            </w:pPr>
            <w:r>
              <w:rPr>
                <w:rFonts w:ascii="Calibri" w:hAnsi="Calibri"/>
                <w:color w:val="404040"/>
                <w:sz w:val="17"/>
              </w:rPr>
              <w:t>Media — pago adelantado sin garantía</w:t>
            </w:r>
          </w:p>
        </w:tc>
        <w:tc>
          <w:tcPr>
            <w:tcW w:type="dxa" w:w="3742"/>
            <w:shd w:val="clear" w:color="auto" w:fill="DDEAF7"/>
            <w:vAlign w:val="center"/>
          </w:tcPr>
          <w:p>
            <w:pPr>
              <w:spacing w:before="40" w:after="40"/>
            </w:pPr>
            <w:r>
              <w:rPr>
                <w:rFonts w:ascii="Calibri" w:hAnsi="Calibri"/>
                <w:color w:val="404040"/>
                <w:sz w:val="17"/>
              </w:rPr>
              <w:t>Cero — productor paga solo si ahorra</w:t>
            </w:r>
          </w:p>
        </w:tc>
      </w:tr>
      <w:tr>
        <w:tc>
          <w:tcPr>
            <w:tcW w:type="dxa" w:w="1984"/>
            <w:shd w:val="clear" w:color="auto" w:fill="FFFFFF"/>
            <w:vAlign w:val="center"/>
          </w:tcPr>
          <w:p>
            <w:pPr>
              <w:spacing w:before="40" w:after="40"/>
            </w:pPr>
            <w:r>
              <w:rPr>
                <w:rFonts w:ascii="Calibri" w:hAnsi="Calibri"/>
                <w:color w:val="404040"/>
                <w:sz w:val="17"/>
              </w:rPr>
              <w:t>Alineación de incentivos</w:t>
            </w:r>
          </w:p>
        </w:tc>
        <w:tc>
          <w:tcPr>
            <w:tcW w:type="dxa" w:w="3685"/>
            <w:shd w:val="clear" w:color="auto" w:fill="FFFFFF"/>
            <w:vAlign w:val="center"/>
          </w:tcPr>
          <w:p>
            <w:pPr>
              <w:spacing w:before="40" w:after="40"/>
            </w:pPr>
            <w:r>
              <w:rPr>
                <w:rFonts w:ascii="Calibri" w:hAnsi="Calibri"/>
                <w:color w:val="404040"/>
                <w:sz w:val="17"/>
              </w:rPr>
              <w:t>Parcial</w:t>
            </w:r>
          </w:p>
        </w:tc>
        <w:tc>
          <w:tcPr>
            <w:tcW w:type="dxa" w:w="3742"/>
            <w:shd w:val="clear" w:color="auto" w:fill="FFFFFF"/>
            <w:vAlign w:val="center"/>
          </w:tcPr>
          <w:p>
            <w:pPr>
              <w:spacing w:before="40" w:after="40"/>
            </w:pPr>
            <w:r>
              <w:rPr>
                <w:rFonts w:ascii="Calibri" w:hAnsi="Calibri"/>
                <w:color w:val="404040"/>
                <w:sz w:val="17"/>
              </w:rPr>
              <w:t>Total — MILPÍN gana cuando el productor gana</w:t>
            </w:r>
          </w:p>
        </w:tc>
      </w:tr>
      <w:tr>
        <w:tc>
          <w:tcPr>
            <w:tcW w:type="dxa" w:w="1984"/>
            <w:shd w:val="clear" w:color="auto" w:fill="DDEAF7"/>
            <w:vAlign w:val="center"/>
          </w:tcPr>
          <w:p>
            <w:pPr>
              <w:spacing w:before="40" w:after="40"/>
            </w:pPr>
            <w:r>
              <w:rPr>
                <w:rFonts w:ascii="Calibri" w:hAnsi="Calibri"/>
                <w:color w:val="404040"/>
                <w:sz w:val="17"/>
              </w:rPr>
              <w:t>Complejidad operativa</w:t>
            </w:r>
          </w:p>
        </w:tc>
        <w:tc>
          <w:tcPr>
            <w:tcW w:type="dxa" w:w="3685"/>
            <w:shd w:val="clear" w:color="auto" w:fill="DDEAF7"/>
            <w:vAlign w:val="center"/>
          </w:tcPr>
          <w:p>
            <w:pPr>
              <w:spacing w:before="40" w:after="40"/>
            </w:pPr>
            <w:r>
              <w:rPr>
                <w:rFonts w:ascii="Calibri" w:hAnsi="Calibri"/>
                <w:color w:val="404040"/>
                <w:sz w:val="17"/>
              </w:rPr>
              <w:t>Baja — facturación estándar</w:t>
            </w:r>
          </w:p>
        </w:tc>
        <w:tc>
          <w:tcPr>
            <w:tcW w:type="dxa" w:w="3742"/>
            <w:shd w:val="clear" w:color="auto" w:fill="DDEAF7"/>
            <w:vAlign w:val="center"/>
          </w:tcPr>
          <w:p>
            <w:pPr>
              <w:spacing w:before="40" w:after="40"/>
            </w:pPr>
            <w:r>
              <w:rPr>
                <w:rFonts w:ascii="Calibri" w:hAnsi="Calibri"/>
                <w:color w:val="404040"/>
                <w:sz w:val="17"/>
              </w:rPr>
              <w:t>Alta — requiere medición y contratos</w:t>
            </w:r>
          </w:p>
        </w:tc>
      </w:tr>
      <w:tr>
        <w:tc>
          <w:tcPr>
            <w:tcW w:type="dxa" w:w="1984"/>
            <w:shd w:val="clear" w:color="auto" w:fill="FFFFFF"/>
            <w:vAlign w:val="center"/>
          </w:tcPr>
          <w:p>
            <w:pPr>
              <w:spacing w:before="40" w:after="40"/>
            </w:pPr>
            <w:r>
              <w:rPr>
                <w:rFonts w:ascii="Calibri" w:hAnsi="Calibri"/>
                <w:color w:val="404040"/>
                <w:sz w:val="17"/>
              </w:rPr>
              <w:t>Ingresos Año 1 (300 ha)</w:t>
            </w:r>
          </w:p>
        </w:tc>
        <w:tc>
          <w:tcPr>
            <w:tcW w:type="dxa" w:w="3685"/>
            <w:shd w:val="clear" w:color="auto" w:fill="FFFFFF"/>
            <w:vAlign w:val="center"/>
          </w:tcPr>
          <w:p>
            <w:pPr>
              <w:spacing w:before="40" w:after="40"/>
            </w:pPr>
            <w:r>
              <w:rPr>
                <w:rFonts w:ascii="Calibri" w:hAnsi="Calibri"/>
                <w:color w:val="404040"/>
                <w:sz w:val="17"/>
              </w:rPr>
              <w:t>$360,000 MXN</w:t>
            </w:r>
          </w:p>
        </w:tc>
        <w:tc>
          <w:tcPr>
            <w:tcW w:type="dxa" w:w="3742"/>
            <w:shd w:val="clear" w:color="auto" w:fill="FFFFFF"/>
            <w:vAlign w:val="center"/>
          </w:tcPr>
          <w:p>
            <w:pPr>
              <w:spacing w:before="40" w:after="40"/>
            </w:pPr>
            <w:r>
              <w:rPr>
                <w:rFonts w:ascii="Calibri" w:hAnsi="Calibri"/>
                <w:color w:val="404040"/>
                <w:sz w:val="17"/>
              </w:rPr>
              <w:t>$302,400 MXN</w:t>
            </w:r>
          </w:p>
        </w:tc>
      </w:tr>
      <w:tr>
        <w:tc>
          <w:tcPr>
            <w:tcW w:type="dxa" w:w="1984"/>
            <w:shd w:val="clear" w:color="auto" w:fill="DDEAF7"/>
            <w:vAlign w:val="center"/>
          </w:tcPr>
          <w:p>
            <w:pPr>
              <w:spacing w:before="40" w:after="40"/>
            </w:pPr>
            <w:r>
              <w:rPr>
                <w:rFonts w:ascii="Calibri" w:hAnsi="Calibri"/>
                <w:color w:val="404040"/>
                <w:sz w:val="17"/>
              </w:rPr>
              <w:t>Recomendación</w:t>
            </w:r>
          </w:p>
        </w:tc>
        <w:tc>
          <w:tcPr>
            <w:tcW w:type="dxa" w:w="3685"/>
            <w:shd w:val="clear" w:color="auto" w:fill="DDEAF7"/>
            <w:vAlign w:val="center"/>
          </w:tcPr>
          <w:p>
            <w:pPr>
              <w:spacing w:before="40" w:after="40"/>
            </w:pPr>
            <w:r>
              <w:rPr>
                <w:rFonts w:ascii="Calibri" w:hAnsi="Calibri"/>
                <w:color w:val="404040"/>
                <w:sz w:val="17"/>
              </w:rPr>
              <w:t>✔ Usar en Fase Piloto (Año 1)</w:t>
            </w:r>
          </w:p>
        </w:tc>
        <w:tc>
          <w:tcPr>
            <w:tcW w:type="dxa" w:w="3742"/>
            <w:shd w:val="clear" w:color="auto" w:fill="DDEAF7"/>
            <w:vAlign w:val="center"/>
          </w:tcPr>
          <w:p>
            <w:pPr>
              <w:spacing w:before="40" w:after="40"/>
            </w:pPr>
            <w:r>
              <w:rPr>
                <w:rFonts w:ascii="Calibri" w:hAnsi="Calibri"/>
                <w:color w:val="404040"/>
                <w:sz w:val="17"/>
              </w:rPr>
              <w:t>Introducir en Año 2 con historial verificado</w:t>
            </w:r>
          </w:p>
        </w:tc>
      </w:tr>
    </w:tbl>
    <w:p>
      <w:pPr>
        <w:spacing w:after="60"/>
      </w:pPr>
    </w:p>
    <w:p>
      <w:pPr>
        <w:pStyle w:val="Heading1"/>
        <w:shd w:val="clear" w:color="auto" w:fill="1F497D"/>
      </w:pPr>
      <w:r>
        <w:rPr>
          <w:b/>
          <w:color w:val="FFFFFF"/>
        </w:rPr>
        <w:t>IV.  Estudio de Mercado y Financiero</w:t>
      </w:r>
    </w:p>
    <w:p>
      <w:pPr>
        <w:pStyle w:val="Heading2"/>
        <w:pBdr>
          <w:bottom w:val="single" w:sz="4" w:space="1" w:color="2E75B6"/>
        </w:pBdr>
      </w:pPr>
      <w:r>
        <w:t>4.1  TAM / SAM / SOM</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984"/>
            <w:shd w:val="clear" w:color="auto" w:fill="1F497D"/>
            <w:vAlign w:val="center"/>
          </w:tcPr>
          <w:p>
            <w:pPr>
              <w:spacing w:before="40" w:after="40"/>
            </w:pPr>
            <w:r>
              <w:rPr>
                <w:rFonts w:ascii="Calibri" w:hAnsi="Calibri"/>
                <w:b/>
                <w:color w:val="FFFFFF"/>
                <w:sz w:val="17"/>
              </w:rPr>
              <w:t>Nivel</w:t>
            </w:r>
          </w:p>
        </w:tc>
        <w:tc>
          <w:tcPr>
            <w:tcW w:type="dxa" w:w="3118"/>
            <w:shd w:val="clear" w:color="auto" w:fill="1F497D"/>
            <w:vAlign w:val="center"/>
          </w:tcPr>
          <w:p>
            <w:pPr>
              <w:spacing w:before="40" w:after="40"/>
            </w:pPr>
            <w:r>
              <w:rPr>
                <w:rFonts w:ascii="Calibri" w:hAnsi="Calibri"/>
                <w:b/>
                <w:color w:val="FFFFFF"/>
                <w:sz w:val="17"/>
              </w:rPr>
              <w:t>Descripción</w:t>
            </w:r>
          </w:p>
        </w:tc>
        <w:tc>
          <w:tcPr>
            <w:tcW w:type="dxa" w:w="1417"/>
            <w:shd w:val="clear" w:color="auto" w:fill="1F497D"/>
            <w:vAlign w:val="center"/>
          </w:tcPr>
          <w:p>
            <w:pPr>
              <w:spacing w:before="40" w:after="40"/>
            </w:pPr>
            <w:r>
              <w:rPr>
                <w:rFonts w:ascii="Calibri" w:hAnsi="Calibri"/>
                <w:b/>
                <w:color w:val="FFFFFF"/>
                <w:sz w:val="17"/>
              </w:rPr>
              <w:t>Superficie</w:t>
            </w:r>
          </w:p>
        </w:tc>
        <w:tc>
          <w:tcPr>
            <w:tcW w:type="dxa" w:w="2891"/>
            <w:shd w:val="clear" w:color="auto" w:fill="1F497D"/>
            <w:vAlign w:val="center"/>
          </w:tcPr>
          <w:p>
            <w:pPr>
              <w:spacing w:before="40" w:after="40"/>
            </w:pPr>
            <w:r>
              <w:rPr>
                <w:rFonts w:ascii="Calibri" w:hAnsi="Calibri"/>
                <w:b/>
                <w:color w:val="FFFFFF"/>
                <w:sz w:val="17"/>
              </w:rPr>
              <w:t>Potencial Anual (MXN)</w:t>
            </w:r>
          </w:p>
        </w:tc>
      </w:tr>
      <w:tr>
        <w:tc>
          <w:tcPr>
            <w:tcW w:type="dxa" w:w="1984"/>
            <w:shd w:val="clear" w:color="auto" w:fill="FFFFFF"/>
            <w:vAlign w:val="center"/>
          </w:tcPr>
          <w:p>
            <w:pPr>
              <w:spacing w:before="40" w:after="40"/>
            </w:pPr>
            <w:r>
              <w:rPr>
                <w:rFonts w:ascii="Calibri" w:hAnsi="Calibri"/>
                <w:color w:val="404040"/>
                <w:sz w:val="17"/>
              </w:rPr>
              <w:t>TAM — Total</w:t>
            </w:r>
          </w:p>
        </w:tc>
        <w:tc>
          <w:tcPr>
            <w:tcW w:type="dxa" w:w="3118"/>
            <w:shd w:val="clear" w:color="auto" w:fill="FFFFFF"/>
            <w:vAlign w:val="center"/>
          </w:tcPr>
          <w:p>
            <w:pPr>
              <w:spacing w:before="40" w:after="40"/>
            </w:pPr>
            <w:r>
              <w:rPr>
                <w:rFonts w:ascii="Calibri" w:hAnsi="Calibri"/>
                <w:color w:val="404040"/>
                <w:sz w:val="17"/>
              </w:rPr>
              <w:t>Toda la agricultura de riego en México (86 distritos)</w:t>
            </w:r>
          </w:p>
        </w:tc>
        <w:tc>
          <w:tcPr>
            <w:tcW w:type="dxa" w:w="1417"/>
            <w:shd w:val="clear" w:color="auto" w:fill="FFFFFF"/>
            <w:vAlign w:val="center"/>
          </w:tcPr>
          <w:p>
            <w:pPr>
              <w:spacing w:before="40" w:after="40"/>
            </w:pPr>
            <w:r>
              <w:rPr>
                <w:rFonts w:ascii="Calibri" w:hAnsi="Calibri"/>
                <w:color w:val="404040"/>
                <w:sz w:val="17"/>
              </w:rPr>
              <w:t>6,800,000 ha</w:t>
            </w:r>
          </w:p>
        </w:tc>
        <w:tc>
          <w:tcPr>
            <w:tcW w:type="dxa" w:w="2891"/>
            <w:shd w:val="clear" w:color="auto" w:fill="FFFFFF"/>
            <w:vAlign w:val="center"/>
          </w:tcPr>
          <w:p>
            <w:pPr>
              <w:spacing w:before="40" w:after="40"/>
            </w:pPr>
            <w:r>
              <w:rPr>
                <w:rFonts w:ascii="Calibri" w:hAnsi="Calibri"/>
                <w:color w:val="404040"/>
                <w:sz w:val="17"/>
              </w:rPr>
              <w:t>$8,160 M</w:t>
            </w:r>
          </w:p>
        </w:tc>
      </w:tr>
      <w:tr>
        <w:tc>
          <w:tcPr>
            <w:tcW w:type="dxa" w:w="1984"/>
            <w:shd w:val="clear" w:color="auto" w:fill="DDEAF7"/>
            <w:vAlign w:val="center"/>
          </w:tcPr>
          <w:p>
            <w:pPr>
              <w:spacing w:before="40" w:after="40"/>
            </w:pPr>
            <w:r>
              <w:rPr>
                <w:rFonts w:ascii="Calibri" w:hAnsi="Calibri"/>
                <w:color w:val="404040"/>
                <w:sz w:val="17"/>
              </w:rPr>
              <w:t>SAM — Accesible</w:t>
            </w:r>
          </w:p>
        </w:tc>
        <w:tc>
          <w:tcPr>
            <w:tcW w:type="dxa" w:w="3118"/>
            <w:shd w:val="clear" w:color="auto" w:fill="DDEAF7"/>
            <w:vAlign w:val="center"/>
          </w:tcPr>
          <w:p>
            <w:pPr>
              <w:spacing w:before="40" w:after="40"/>
            </w:pPr>
            <w:r>
              <w:rPr>
                <w:rFonts w:ascii="Calibri" w:hAnsi="Calibri"/>
                <w:color w:val="404040"/>
                <w:sz w:val="17"/>
              </w:rPr>
              <w:t>Distritos noroeste: Sonora, Sinaloa, BCS</w:t>
            </w:r>
          </w:p>
        </w:tc>
        <w:tc>
          <w:tcPr>
            <w:tcW w:type="dxa" w:w="1417"/>
            <w:shd w:val="clear" w:color="auto" w:fill="DDEAF7"/>
            <w:vAlign w:val="center"/>
          </w:tcPr>
          <w:p>
            <w:pPr>
              <w:spacing w:before="40" w:after="40"/>
            </w:pPr>
            <w:r>
              <w:rPr>
                <w:rFonts w:ascii="Calibri" w:hAnsi="Calibri"/>
                <w:color w:val="404040"/>
                <w:sz w:val="17"/>
              </w:rPr>
              <w:t>900,000 ha</w:t>
            </w:r>
          </w:p>
        </w:tc>
        <w:tc>
          <w:tcPr>
            <w:tcW w:type="dxa" w:w="2891"/>
            <w:shd w:val="clear" w:color="auto" w:fill="DDEAF7"/>
            <w:vAlign w:val="center"/>
          </w:tcPr>
          <w:p>
            <w:pPr>
              <w:spacing w:before="40" w:after="40"/>
            </w:pPr>
            <w:r>
              <w:rPr>
                <w:rFonts w:ascii="Calibri" w:hAnsi="Calibri"/>
                <w:color w:val="404040"/>
                <w:sz w:val="17"/>
              </w:rPr>
              <w:t>$1,080 M</w:t>
            </w:r>
          </w:p>
        </w:tc>
      </w:tr>
      <w:tr>
        <w:tc>
          <w:tcPr>
            <w:tcW w:type="dxa" w:w="1984"/>
            <w:shd w:val="clear" w:color="auto" w:fill="FFFFFF"/>
            <w:vAlign w:val="center"/>
          </w:tcPr>
          <w:p>
            <w:pPr>
              <w:spacing w:before="40" w:after="40"/>
            </w:pPr>
            <w:r>
              <w:rPr>
                <w:rFonts w:ascii="Calibri" w:hAnsi="Calibri"/>
                <w:color w:val="404040"/>
                <w:sz w:val="17"/>
              </w:rPr>
              <w:t>SOM — Objetivo</w:t>
            </w:r>
          </w:p>
        </w:tc>
        <w:tc>
          <w:tcPr>
            <w:tcW w:type="dxa" w:w="3118"/>
            <w:shd w:val="clear" w:color="auto" w:fill="FFFFFF"/>
            <w:vAlign w:val="center"/>
          </w:tcPr>
          <w:p>
            <w:pPr>
              <w:spacing w:before="40" w:after="40"/>
            </w:pPr>
            <w:r>
              <w:rPr>
                <w:rFonts w:ascii="Calibri" w:hAnsi="Calibri"/>
                <w:color w:val="404040"/>
                <w:sz w:val="17"/>
              </w:rPr>
              <w:t>DR-041 completo en 3 años + expansión</w:t>
            </w:r>
          </w:p>
        </w:tc>
        <w:tc>
          <w:tcPr>
            <w:tcW w:type="dxa" w:w="1417"/>
            <w:shd w:val="clear" w:color="auto" w:fill="FFFFFF"/>
            <w:vAlign w:val="center"/>
          </w:tcPr>
          <w:p>
            <w:pPr>
              <w:spacing w:before="40" w:after="40"/>
            </w:pPr>
            <w:r>
              <w:rPr>
                <w:rFonts w:ascii="Calibri" w:hAnsi="Calibri"/>
                <w:color w:val="404040"/>
                <w:sz w:val="17"/>
              </w:rPr>
              <w:t>60,000 ha</w:t>
            </w:r>
          </w:p>
        </w:tc>
        <w:tc>
          <w:tcPr>
            <w:tcW w:type="dxa" w:w="2891"/>
            <w:shd w:val="clear" w:color="auto" w:fill="FFFFFF"/>
            <w:vAlign w:val="center"/>
          </w:tcPr>
          <w:p>
            <w:pPr>
              <w:spacing w:before="40" w:after="40"/>
            </w:pPr>
            <w:r>
              <w:rPr>
                <w:rFonts w:ascii="Calibri" w:hAnsi="Calibri"/>
                <w:color w:val="404040"/>
                <w:sz w:val="17"/>
              </w:rPr>
              <w:t>$72 M</w:t>
            </w:r>
          </w:p>
        </w:tc>
      </w:tr>
      <w:tr>
        <w:tc>
          <w:tcPr>
            <w:tcW w:type="dxa" w:w="1984"/>
            <w:shd w:val="clear" w:color="auto" w:fill="DDEAF7"/>
            <w:vAlign w:val="center"/>
          </w:tcPr>
          <w:p>
            <w:pPr>
              <w:spacing w:before="40" w:after="40"/>
            </w:pPr>
            <w:r>
              <w:rPr>
                <w:rFonts w:ascii="Calibri" w:hAnsi="Calibri"/>
                <w:color w:val="404040"/>
                <w:sz w:val="17"/>
              </w:rPr>
              <w:t>Piloto Año 1</w:t>
            </w:r>
          </w:p>
        </w:tc>
        <w:tc>
          <w:tcPr>
            <w:tcW w:type="dxa" w:w="3118"/>
            <w:shd w:val="clear" w:color="auto" w:fill="DDEAF7"/>
            <w:vAlign w:val="center"/>
          </w:tcPr>
          <w:p>
            <w:pPr>
              <w:spacing w:before="40" w:after="40"/>
            </w:pPr>
            <w:r>
              <w:rPr>
                <w:rFonts w:ascii="Calibri" w:hAnsi="Calibri"/>
                <w:color w:val="404040"/>
                <w:sz w:val="17"/>
              </w:rPr>
              <w:t>DR-041 Módulo 3 — fase validación</w:t>
            </w:r>
          </w:p>
        </w:tc>
        <w:tc>
          <w:tcPr>
            <w:tcW w:type="dxa" w:w="1417"/>
            <w:shd w:val="clear" w:color="auto" w:fill="DDEAF7"/>
            <w:vAlign w:val="center"/>
          </w:tcPr>
          <w:p>
            <w:pPr>
              <w:spacing w:before="40" w:after="40"/>
            </w:pPr>
            <w:r>
              <w:rPr>
                <w:rFonts w:ascii="Calibri" w:hAnsi="Calibri"/>
                <w:color w:val="404040"/>
                <w:sz w:val="17"/>
              </w:rPr>
              <w:t>300 ha</w:t>
            </w:r>
          </w:p>
        </w:tc>
        <w:tc>
          <w:tcPr>
            <w:tcW w:type="dxa" w:w="2891"/>
            <w:shd w:val="clear" w:color="auto" w:fill="DDEAF7"/>
            <w:vAlign w:val="center"/>
          </w:tcPr>
          <w:p>
            <w:pPr>
              <w:spacing w:before="40" w:after="40"/>
            </w:pPr>
            <w:r>
              <w:rPr>
                <w:rFonts w:ascii="Calibri" w:hAnsi="Calibri"/>
                <w:color w:val="404040"/>
                <w:sz w:val="17"/>
              </w:rPr>
              <w:t>$360 K</w:t>
            </w:r>
          </w:p>
        </w:tc>
      </w:tr>
    </w:tbl>
    <w:p>
      <w:pPr>
        <w:spacing w:after="60"/>
      </w:pP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4.1 — Diagrama concéntrico TAM/SAM/SOM con proyección sobre mapa DR-041, Sonora ]</w:t>
      </w:r>
    </w:p>
    <w:p>
      <w:pPr>
        <w:pStyle w:val="Heading2"/>
        <w:pBdr>
          <w:bottom w:val="single" w:sz="4" w:space="1" w:color="2E75B6"/>
        </w:pBdr>
      </w:pPr>
      <w:r>
        <w:t>4.2  Proyección Financiera — Modelo SaaS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835"/>
            <w:shd w:val="clear" w:color="auto" w:fill="1F497D"/>
            <w:vAlign w:val="center"/>
          </w:tcPr>
          <w:p>
            <w:pPr>
              <w:spacing w:before="40" w:after="40"/>
            </w:pPr>
            <w:r>
              <w:rPr>
                <w:rFonts w:ascii="Calibri" w:hAnsi="Calibri"/>
                <w:b/>
                <w:color w:val="FFFFFF"/>
                <w:sz w:val="17"/>
              </w:rPr>
              <w:t>Concepto</w:t>
            </w:r>
          </w:p>
        </w:tc>
        <w:tc>
          <w:tcPr>
            <w:tcW w:type="dxa" w:w="1984"/>
            <w:shd w:val="clear" w:color="auto" w:fill="1F497D"/>
            <w:vAlign w:val="center"/>
          </w:tcPr>
          <w:p>
            <w:pPr>
              <w:spacing w:before="40" w:after="40"/>
            </w:pPr>
            <w:r>
              <w:rPr>
                <w:rFonts w:ascii="Calibri" w:hAnsi="Calibri"/>
                <w:b/>
                <w:color w:val="FFFFFF"/>
                <w:sz w:val="17"/>
              </w:rPr>
              <w:t>Año 1</w:t>
            </w:r>
          </w:p>
        </w:tc>
        <w:tc>
          <w:tcPr>
            <w:tcW w:type="dxa" w:w="1701"/>
            <w:shd w:val="clear" w:color="auto" w:fill="1F497D"/>
            <w:vAlign w:val="center"/>
          </w:tcPr>
          <w:p>
            <w:pPr>
              <w:spacing w:before="40" w:after="40"/>
            </w:pPr>
            <w:r>
              <w:rPr>
                <w:rFonts w:ascii="Calibri" w:hAnsi="Calibri"/>
                <w:b/>
                <w:color w:val="FFFFFF"/>
                <w:sz w:val="17"/>
              </w:rPr>
              <w:t>Año 2</w:t>
            </w:r>
          </w:p>
        </w:tc>
        <w:tc>
          <w:tcPr>
            <w:tcW w:type="dxa" w:w="2891"/>
            <w:shd w:val="clear" w:color="auto" w:fill="1F497D"/>
            <w:vAlign w:val="center"/>
          </w:tcPr>
          <w:p>
            <w:pPr>
              <w:spacing w:before="40" w:after="40"/>
            </w:pPr>
            <w:r>
              <w:rPr>
                <w:rFonts w:ascii="Calibri" w:hAnsi="Calibri"/>
                <w:b/>
                <w:color w:val="FFFFFF"/>
                <w:sz w:val="17"/>
              </w:rPr>
              <w:t>Año 3</w:t>
            </w:r>
          </w:p>
        </w:tc>
      </w:tr>
      <w:tr>
        <w:tc>
          <w:tcPr>
            <w:tcW w:type="dxa" w:w="2835"/>
            <w:shd w:val="clear" w:color="auto" w:fill="FFFFFF"/>
            <w:vAlign w:val="center"/>
          </w:tcPr>
          <w:p>
            <w:pPr>
              <w:spacing w:before="40" w:after="40"/>
            </w:pPr>
            <w:r>
              <w:rPr>
                <w:rFonts w:ascii="Calibri" w:hAnsi="Calibri"/>
                <w:color w:val="404040"/>
                <w:sz w:val="17"/>
              </w:rPr>
              <w:t>Hectáreas</w:t>
            </w:r>
          </w:p>
        </w:tc>
        <w:tc>
          <w:tcPr>
            <w:tcW w:type="dxa" w:w="1984"/>
            <w:shd w:val="clear" w:color="auto" w:fill="FFFFFF"/>
            <w:vAlign w:val="center"/>
          </w:tcPr>
          <w:p>
            <w:pPr>
              <w:spacing w:before="40" w:after="40"/>
            </w:pPr>
            <w:r>
              <w:rPr>
                <w:rFonts w:ascii="Calibri" w:hAnsi="Calibri"/>
                <w:color w:val="404040"/>
                <w:sz w:val="17"/>
              </w:rPr>
              <w:t>300 ha</w:t>
            </w:r>
          </w:p>
        </w:tc>
        <w:tc>
          <w:tcPr>
            <w:tcW w:type="dxa" w:w="1701"/>
            <w:shd w:val="clear" w:color="auto" w:fill="FFFFFF"/>
            <w:vAlign w:val="center"/>
          </w:tcPr>
          <w:p>
            <w:pPr>
              <w:spacing w:before="40" w:after="40"/>
            </w:pPr>
            <w:r>
              <w:rPr>
                <w:rFonts w:ascii="Calibri" w:hAnsi="Calibri"/>
                <w:color w:val="404040"/>
                <w:sz w:val="17"/>
              </w:rPr>
              <w:t>2,000 ha</w:t>
            </w:r>
          </w:p>
        </w:tc>
        <w:tc>
          <w:tcPr>
            <w:tcW w:type="dxa" w:w="2891"/>
            <w:shd w:val="clear" w:color="auto" w:fill="FFFFFF"/>
            <w:vAlign w:val="center"/>
          </w:tcPr>
          <w:p>
            <w:pPr>
              <w:spacing w:before="40" w:after="40"/>
            </w:pPr>
            <w:r>
              <w:rPr>
                <w:rFonts w:ascii="Calibri" w:hAnsi="Calibri"/>
                <w:color w:val="404040"/>
                <w:sz w:val="17"/>
              </w:rPr>
              <w:t>8,000 ha</w:t>
            </w:r>
          </w:p>
        </w:tc>
      </w:tr>
      <w:tr>
        <w:tc>
          <w:tcPr>
            <w:tcW w:type="dxa" w:w="2835"/>
            <w:shd w:val="clear" w:color="auto" w:fill="DDEAF7"/>
            <w:vAlign w:val="center"/>
          </w:tcPr>
          <w:p>
            <w:pPr>
              <w:spacing w:before="40" w:after="40"/>
            </w:pPr>
            <w:r>
              <w:rPr>
                <w:rFonts w:ascii="Calibri" w:hAnsi="Calibri"/>
                <w:color w:val="404040"/>
                <w:sz w:val="17"/>
              </w:rPr>
              <w:t>Ingresos</w:t>
            </w:r>
          </w:p>
        </w:tc>
        <w:tc>
          <w:tcPr>
            <w:tcW w:type="dxa" w:w="1984"/>
            <w:shd w:val="clear" w:color="auto" w:fill="DDEAF7"/>
            <w:vAlign w:val="center"/>
          </w:tcPr>
          <w:p>
            <w:pPr>
              <w:spacing w:before="40" w:after="40"/>
            </w:pPr>
            <w:r>
              <w:rPr>
                <w:rFonts w:ascii="Calibri" w:hAnsi="Calibri"/>
                <w:color w:val="404040"/>
                <w:sz w:val="17"/>
              </w:rPr>
              <w:t>$360,000</w:t>
            </w:r>
          </w:p>
        </w:tc>
        <w:tc>
          <w:tcPr>
            <w:tcW w:type="dxa" w:w="1701"/>
            <w:shd w:val="clear" w:color="auto" w:fill="DDEAF7"/>
            <w:vAlign w:val="center"/>
          </w:tcPr>
          <w:p>
            <w:pPr>
              <w:spacing w:before="40" w:after="40"/>
            </w:pPr>
            <w:r>
              <w:rPr>
                <w:rFonts w:ascii="Calibri" w:hAnsi="Calibri"/>
                <w:color w:val="404040"/>
                <w:sz w:val="17"/>
              </w:rPr>
              <w:t>$2,400,000</w:t>
            </w:r>
          </w:p>
        </w:tc>
        <w:tc>
          <w:tcPr>
            <w:tcW w:type="dxa" w:w="2891"/>
            <w:shd w:val="clear" w:color="auto" w:fill="DDEAF7"/>
            <w:vAlign w:val="center"/>
          </w:tcPr>
          <w:p>
            <w:pPr>
              <w:spacing w:before="40" w:after="40"/>
            </w:pPr>
            <w:r>
              <w:rPr>
                <w:rFonts w:ascii="Calibri" w:hAnsi="Calibri"/>
                <w:color w:val="404040"/>
                <w:sz w:val="17"/>
              </w:rPr>
              <w:t>$9,600,000</w:t>
            </w:r>
          </w:p>
        </w:tc>
      </w:tr>
      <w:tr>
        <w:tc>
          <w:tcPr>
            <w:tcW w:type="dxa" w:w="2835"/>
            <w:shd w:val="clear" w:color="auto" w:fill="FFFFFF"/>
            <w:vAlign w:val="center"/>
          </w:tcPr>
          <w:p>
            <w:pPr>
              <w:spacing w:before="40" w:after="40"/>
            </w:pPr>
            <w:r>
              <w:rPr>
                <w:rFonts w:ascii="Calibri" w:hAnsi="Calibri"/>
                <w:color w:val="404040"/>
                <w:sz w:val="17"/>
              </w:rPr>
              <w:t>OPEX</w:t>
            </w:r>
          </w:p>
        </w:tc>
        <w:tc>
          <w:tcPr>
            <w:tcW w:type="dxa" w:w="1984"/>
            <w:shd w:val="clear" w:color="auto" w:fill="FFFFFF"/>
            <w:vAlign w:val="center"/>
          </w:tcPr>
          <w:p>
            <w:pPr>
              <w:spacing w:before="40" w:after="40"/>
            </w:pPr>
            <w:r>
              <w:rPr>
                <w:rFonts w:ascii="Calibri" w:hAnsi="Calibri"/>
                <w:color w:val="404040"/>
                <w:sz w:val="17"/>
              </w:rPr>
              <w:t>$850,000</w:t>
            </w:r>
          </w:p>
        </w:tc>
        <w:tc>
          <w:tcPr>
            <w:tcW w:type="dxa" w:w="1701"/>
            <w:shd w:val="clear" w:color="auto" w:fill="FFFFFF"/>
            <w:vAlign w:val="center"/>
          </w:tcPr>
          <w:p>
            <w:pPr>
              <w:spacing w:before="40" w:after="40"/>
            </w:pPr>
            <w:r>
              <w:rPr>
                <w:rFonts w:ascii="Calibri" w:hAnsi="Calibri"/>
                <w:color w:val="404040"/>
                <w:sz w:val="17"/>
              </w:rPr>
              <w:t>$1,800,000</w:t>
            </w:r>
          </w:p>
        </w:tc>
        <w:tc>
          <w:tcPr>
            <w:tcW w:type="dxa" w:w="2891"/>
            <w:shd w:val="clear" w:color="auto" w:fill="FFFFFF"/>
            <w:vAlign w:val="center"/>
          </w:tcPr>
          <w:p>
            <w:pPr>
              <w:spacing w:before="40" w:after="40"/>
            </w:pPr>
            <w:r>
              <w:rPr>
                <w:rFonts w:ascii="Calibri" w:hAnsi="Calibri"/>
                <w:color w:val="404040"/>
                <w:sz w:val="17"/>
              </w:rPr>
              <w:t>$3,600,000</w:t>
            </w:r>
          </w:p>
        </w:tc>
      </w:tr>
      <w:tr>
        <w:tc>
          <w:tcPr>
            <w:tcW w:type="dxa" w:w="2835"/>
            <w:shd w:val="clear" w:color="auto" w:fill="DDEAF7"/>
            <w:vAlign w:val="center"/>
          </w:tcPr>
          <w:p>
            <w:pPr>
              <w:spacing w:before="40" w:after="40"/>
            </w:pPr>
            <w:r>
              <w:rPr>
                <w:rFonts w:ascii="Calibri" w:hAnsi="Calibri"/>
                <w:color w:val="404040"/>
                <w:sz w:val="17"/>
              </w:rPr>
              <w:t>EBITDA</w:t>
            </w:r>
          </w:p>
        </w:tc>
        <w:tc>
          <w:tcPr>
            <w:tcW w:type="dxa" w:w="1984"/>
            <w:shd w:val="clear" w:color="auto" w:fill="DDEAF7"/>
            <w:vAlign w:val="center"/>
          </w:tcPr>
          <w:p>
            <w:pPr>
              <w:spacing w:before="40" w:after="40"/>
            </w:pPr>
            <w:r>
              <w:rPr>
                <w:rFonts w:ascii="Calibri" w:hAnsi="Calibri"/>
                <w:color w:val="404040"/>
                <w:sz w:val="17"/>
              </w:rPr>
              <w:t>−$490,000</w:t>
            </w:r>
          </w:p>
        </w:tc>
        <w:tc>
          <w:tcPr>
            <w:tcW w:type="dxa" w:w="1701"/>
            <w:shd w:val="clear" w:color="auto" w:fill="DDEAF7"/>
            <w:vAlign w:val="center"/>
          </w:tcPr>
          <w:p>
            <w:pPr>
              <w:spacing w:before="40" w:after="40"/>
            </w:pPr>
            <w:r>
              <w:rPr>
                <w:rFonts w:ascii="Calibri" w:hAnsi="Calibri"/>
                <w:color w:val="404040"/>
                <w:sz w:val="17"/>
              </w:rPr>
              <w:t>$600,000</w:t>
            </w:r>
          </w:p>
        </w:tc>
        <w:tc>
          <w:tcPr>
            <w:tcW w:type="dxa" w:w="2891"/>
            <w:shd w:val="clear" w:color="auto" w:fill="DDEAF7"/>
            <w:vAlign w:val="center"/>
          </w:tcPr>
          <w:p>
            <w:pPr>
              <w:spacing w:before="40" w:after="40"/>
            </w:pPr>
            <w:r>
              <w:rPr>
                <w:rFonts w:ascii="Calibri" w:hAnsi="Calibri"/>
                <w:color w:val="404040"/>
                <w:sz w:val="17"/>
              </w:rPr>
              <w:t>$6,000,000</w:t>
            </w:r>
          </w:p>
        </w:tc>
      </w:tr>
      <w:tr>
        <w:tc>
          <w:tcPr>
            <w:tcW w:type="dxa" w:w="2835"/>
            <w:shd w:val="clear" w:color="auto" w:fill="FFFFFF"/>
            <w:vAlign w:val="center"/>
          </w:tcPr>
          <w:p>
            <w:pPr>
              <w:spacing w:before="40" w:after="40"/>
            </w:pPr>
            <w:r>
              <w:rPr>
                <w:rFonts w:ascii="Calibri" w:hAnsi="Calibri"/>
                <w:color w:val="404040"/>
                <w:sz w:val="17"/>
              </w:rPr>
              <w:t>Flujo acumulado</w:t>
            </w:r>
          </w:p>
        </w:tc>
        <w:tc>
          <w:tcPr>
            <w:tcW w:type="dxa" w:w="1984"/>
            <w:shd w:val="clear" w:color="auto" w:fill="FFFFFF"/>
            <w:vAlign w:val="center"/>
          </w:tcPr>
          <w:p>
            <w:pPr>
              <w:spacing w:before="40" w:after="40"/>
            </w:pPr>
            <w:r>
              <w:rPr>
                <w:rFonts w:ascii="Calibri" w:hAnsi="Calibri"/>
                <w:color w:val="404040"/>
                <w:sz w:val="17"/>
              </w:rPr>
              <w:t>−$940,000</w:t>
            </w:r>
          </w:p>
        </w:tc>
        <w:tc>
          <w:tcPr>
            <w:tcW w:type="dxa" w:w="1701"/>
            <w:shd w:val="clear" w:color="auto" w:fill="FFFFFF"/>
            <w:vAlign w:val="center"/>
          </w:tcPr>
          <w:p>
            <w:pPr>
              <w:spacing w:before="40" w:after="40"/>
            </w:pPr>
            <w:r>
              <w:rPr>
                <w:rFonts w:ascii="Calibri" w:hAnsi="Calibri"/>
                <w:color w:val="404040"/>
                <w:sz w:val="17"/>
              </w:rPr>
              <w:t>−$340,000</w:t>
            </w:r>
          </w:p>
        </w:tc>
        <w:tc>
          <w:tcPr>
            <w:tcW w:type="dxa" w:w="2891"/>
            <w:shd w:val="clear" w:color="auto" w:fill="FFFFFF"/>
            <w:vAlign w:val="center"/>
          </w:tcPr>
          <w:p>
            <w:pPr>
              <w:spacing w:before="40" w:after="40"/>
            </w:pPr>
            <w:r>
              <w:rPr>
                <w:rFonts w:ascii="Calibri" w:hAnsi="Calibri"/>
                <w:color w:val="404040"/>
                <w:sz w:val="17"/>
              </w:rPr>
              <w:t>$5,660,000</w:t>
            </w:r>
          </w:p>
        </w:tc>
      </w:tr>
    </w:tbl>
    <w:p>
      <w:pPr>
        <w:spacing w:after="60"/>
      </w:pPr>
    </w:p>
    <w:p>
      <w:pPr>
        <w:spacing w:after="60"/>
        <w:shd w:val="clear" w:color="auto" w:fill="EBF3FB"/>
      </w:pPr>
      <w:r>
        <w:rPr>
          <w:b/>
          <w:color w:val="1F497D"/>
          <w:sz w:val="19"/>
        </w:rPr>
        <w:t xml:space="preserve">CAPEX inicial: </w:t>
      </w:r>
      <w:r>
        <w:rPr>
          <w:b/>
          <w:color w:val="378644"/>
          <w:sz w:val="20"/>
        </w:rPr>
        <w:t>$450,000 MXN</w:t>
      </w:r>
      <w:r>
        <w:rPr>
          <w:i/>
          <w:color w:val="404040"/>
          <w:sz w:val="17"/>
        </w:rPr>
        <w:t xml:space="preserve">  (cloud + legal + desarrollo + capital de trabajo)</w:t>
      </w:r>
    </w:p>
    <w:p>
      <w:pPr>
        <w:spacing w:after="60"/>
        <w:shd w:val="clear" w:color="auto" w:fill="EBF3FB"/>
      </w:pPr>
      <w:r>
        <w:rPr>
          <w:b/>
          <w:color w:val="1F497D"/>
          <w:sz w:val="19"/>
        </w:rPr>
        <w:t xml:space="preserve">VAN (WACC 12%, 3 años): </w:t>
      </w:r>
      <w:r>
        <w:rPr>
          <w:b/>
          <w:color w:val="378644"/>
          <w:sz w:val="20"/>
        </w:rPr>
        <w:t>$4,148,847 MXN</w:t>
      </w:r>
      <w:r>
        <w:rPr>
          <w:i/>
          <w:color w:val="404040"/>
          <w:sz w:val="17"/>
        </w:rPr>
        <w:t xml:space="preserve">  — escenario base</w:t>
      </w:r>
    </w:p>
    <w:p>
      <w:pPr>
        <w:spacing w:after="60"/>
        <w:shd w:val="clear" w:color="auto" w:fill="EBF3FB"/>
      </w:pPr>
      <w:r>
        <w:rPr>
          <w:b/>
          <w:color w:val="1F497D"/>
          <w:sz w:val="19"/>
        </w:rPr>
        <w:t xml:space="preserve">TIR estimada: </w:t>
      </w:r>
      <w:r>
        <w:rPr>
          <w:b/>
          <w:color w:val="378644"/>
          <w:sz w:val="20"/>
        </w:rPr>
        <w:t>~120%</w:t>
      </w:r>
      <w:r>
        <w:rPr>
          <w:i/>
          <w:color w:val="404040"/>
          <w:sz w:val="17"/>
        </w:rPr>
        <w:t xml:space="preserve">  — conservador 4,000 ha en Año 3 → TIR ~70%, sigue siendo atractiva</w:t>
      </w:r>
    </w:p>
    <w:p>
      <w:pPr>
        <w:spacing w:after="60"/>
        <w:shd w:val="clear" w:color="auto" w:fill="EBF3FB"/>
      </w:pPr>
      <w:r>
        <w:rPr>
          <w:b/>
          <w:color w:val="1F497D"/>
          <w:sz w:val="19"/>
        </w:rPr>
        <w:t xml:space="preserve">Punto de equilibrio: </w:t>
      </w:r>
      <w:r>
        <w:rPr>
          <w:b/>
          <w:color w:val="378644"/>
          <w:sz w:val="20"/>
        </w:rPr>
        <w:t>708 ha en Año 1</w:t>
      </w:r>
      <w:r>
        <w:rPr>
          <w:i/>
          <w:color w:val="404040"/>
          <w:sz w:val="17"/>
        </w:rPr>
        <w:t xml:space="preserve">  — cubierto con CAPEX + fondos externos</w:t>
      </w:r>
    </w:p>
    <w:p>
      <w:pPr>
        <w:pStyle w:val="Heading2"/>
        <w:pBdr>
          <w:bottom w:val="single" w:sz="4" w:space="1" w:color="2E75B6"/>
        </w:pBdr>
      </w:pPr>
      <w:r>
        <w:t>4.3  Riesgos y Financiamiento</w:t>
      </w:r>
    </w:p>
    <w:tbl>
      <w:tblPr>
        <w:tblStyle w:val="TableGrid"/>
        <w:tblW w:type="auto" w:w="0"/>
        <w:jc w:val="left"/>
        <w:tblLook w:firstColumn="1" w:firstRow="1" w:lastColumn="0" w:lastRow="0" w:noHBand="0" w:noVBand="1" w:val="04A0"/>
      </w:tblPr>
      <w:tblGrid>
        <w:gridCol w:w="3137"/>
        <w:gridCol w:w="3137"/>
        <w:gridCol w:w="3137"/>
      </w:tblGrid>
      <w:tr>
        <w:tc>
          <w:tcPr>
            <w:tcW w:type="dxa" w:w="3118"/>
            <w:shd w:val="clear" w:color="auto" w:fill="1F497D"/>
            <w:vAlign w:val="center"/>
          </w:tcPr>
          <w:p>
            <w:pPr>
              <w:spacing w:before="40" w:after="40"/>
            </w:pPr>
            <w:r>
              <w:rPr>
                <w:rFonts w:ascii="Calibri" w:hAnsi="Calibri"/>
                <w:b/>
                <w:color w:val="FFFFFF"/>
                <w:sz w:val="17"/>
              </w:rPr>
              <w:t>Riesgo</w:t>
            </w:r>
          </w:p>
        </w:tc>
        <w:tc>
          <w:tcPr>
            <w:tcW w:type="dxa" w:w="680"/>
            <w:shd w:val="clear" w:color="auto" w:fill="1F497D"/>
            <w:vAlign w:val="center"/>
          </w:tcPr>
          <w:p>
            <w:pPr>
              <w:spacing w:before="40" w:after="40"/>
            </w:pPr>
            <w:r>
              <w:rPr>
                <w:rFonts w:ascii="Calibri" w:hAnsi="Calibri"/>
                <w:b/>
                <w:color w:val="FFFFFF"/>
                <w:sz w:val="17"/>
              </w:rPr>
              <w:t>Prob.</w:t>
            </w:r>
          </w:p>
        </w:tc>
        <w:tc>
          <w:tcPr>
            <w:tcW w:type="dxa" w:w="5669"/>
            <w:shd w:val="clear" w:color="auto" w:fill="1F497D"/>
            <w:vAlign w:val="center"/>
          </w:tcPr>
          <w:p>
            <w:pPr>
              <w:spacing w:before="40" w:after="40"/>
            </w:pPr>
            <w:r>
              <w:rPr>
                <w:rFonts w:ascii="Calibri" w:hAnsi="Calibri"/>
                <w:b/>
                <w:color w:val="FFFFFF"/>
                <w:sz w:val="17"/>
              </w:rPr>
              <w:t>Mitigación</w:t>
            </w:r>
          </w:p>
        </w:tc>
      </w:tr>
      <w:tr>
        <w:tc>
          <w:tcPr>
            <w:tcW w:type="dxa" w:w="3118"/>
            <w:shd w:val="clear" w:color="auto" w:fill="FFFFFF"/>
            <w:vAlign w:val="center"/>
          </w:tcPr>
          <w:p>
            <w:pPr>
              <w:spacing w:before="40" w:after="40"/>
            </w:pPr>
            <w:r>
              <w:rPr>
                <w:rFonts w:ascii="Calibri" w:hAnsi="Calibri"/>
                <w:color w:val="404040"/>
                <w:sz w:val="17"/>
              </w:rPr>
              <w:t>Baja adopción — resistencia al cambio</w:t>
            </w:r>
          </w:p>
        </w:tc>
        <w:tc>
          <w:tcPr>
            <w:tcW w:type="dxa" w:w="680"/>
            <w:shd w:val="clear" w:color="auto" w:fill="FFFFFF"/>
            <w:vAlign w:val="center"/>
          </w:tcPr>
          <w:p>
            <w:pPr>
              <w:spacing w:before="40" w:after="40"/>
            </w:pPr>
            <w:r>
              <w:rPr>
                <w:rFonts w:ascii="Calibri" w:hAnsi="Calibri"/>
                <w:color w:val="404040"/>
                <w:sz w:val="17"/>
              </w:rPr>
              <w:t>Alta</w:t>
            </w:r>
          </w:p>
        </w:tc>
        <w:tc>
          <w:tcPr>
            <w:tcW w:type="dxa" w:w="5669"/>
            <w:shd w:val="clear" w:color="auto" w:fill="FFFFFF"/>
            <w:vAlign w:val="center"/>
          </w:tcPr>
          <w:p>
            <w:pPr>
              <w:spacing w:before="40" w:after="40"/>
            </w:pPr>
            <w:r>
              <w:rPr>
                <w:rFonts w:ascii="Calibri" w:hAnsi="Calibri"/>
                <w:color w:val="404040"/>
                <w:sz w:val="17"/>
              </w:rPr>
              <w:t>Promotores campo, demo ROI ciclo 1, usuario semilla Ramón Valenzuela</w:t>
            </w:r>
          </w:p>
        </w:tc>
      </w:tr>
      <w:tr>
        <w:tc>
          <w:tcPr>
            <w:tcW w:type="dxa" w:w="3118"/>
            <w:shd w:val="clear" w:color="auto" w:fill="DDEAF7"/>
            <w:vAlign w:val="center"/>
          </w:tcPr>
          <w:p>
            <w:pPr>
              <w:spacing w:before="40" w:after="40"/>
            </w:pPr>
            <w:r>
              <w:rPr>
                <w:rFonts w:ascii="Calibri" w:hAnsi="Calibri"/>
                <w:color w:val="404040"/>
                <w:sz w:val="17"/>
              </w:rPr>
              <w:t>Sin auth — breach de seguridad</w:t>
            </w:r>
          </w:p>
        </w:tc>
        <w:tc>
          <w:tcPr>
            <w:tcW w:type="dxa" w:w="680"/>
            <w:shd w:val="clear" w:color="auto" w:fill="DDEAF7"/>
            <w:vAlign w:val="center"/>
          </w:tcPr>
          <w:p>
            <w:pPr>
              <w:spacing w:before="40" w:after="40"/>
            </w:pPr>
            <w:r>
              <w:rPr>
                <w:rFonts w:ascii="Calibri" w:hAnsi="Calibri"/>
                <w:color w:val="404040"/>
                <w:sz w:val="17"/>
              </w:rPr>
              <w:t>Media</w:t>
            </w:r>
          </w:p>
        </w:tc>
        <w:tc>
          <w:tcPr>
            <w:tcW w:type="dxa" w:w="5669"/>
            <w:shd w:val="clear" w:color="auto" w:fill="DDEAF7"/>
            <w:vAlign w:val="center"/>
          </w:tcPr>
          <w:p>
            <w:pPr>
              <w:spacing w:before="40" w:after="40"/>
            </w:pPr>
            <w:r>
              <w:rPr>
                <w:rFonts w:ascii="Calibri" w:hAnsi="Calibri"/>
                <w:color w:val="404040"/>
                <w:sz w:val="17"/>
              </w:rPr>
              <w:t>CRÍTICO: JWT antes del piloto — deuda técnica #1</w:t>
            </w:r>
          </w:p>
        </w:tc>
      </w:tr>
      <w:tr>
        <w:tc>
          <w:tcPr>
            <w:tcW w:type="dxa" w:w="3118"/>
            <w:shd w:val="clear" w:color="auto" w:fill="FFFFFF"/>
            <w:vAlign w:val="center"/>
          </w:tcPr>
          <w:p>
            <w:pPr>
              <w:spacing w:before="40" w:after="40"/>
            </w:pPr>
            <w:r>
              <w:rPr>
                <w:rFonts w:ascii="Calibri" w:hAnsi="Calibri"/>
                <w:color w:val="404040"/>
                <w:sz w:val="17"/>
              </w:rPr>
              <w:t>Interrupción API NASA POWER</w:t>
            </w:r>
          </w:p>
        </w:tc>
        <w:tc>
          <w:tcPr>
            <w:tcW w:type="dxa" w:w="680"/>
            <w:shd w:val="clear" w:color="auto" w:fill="FFFFFF"/>
            <w:vAlign w:val="center"/>
          </w:tcPr>
          <w:p>
            <w:pPr>
              <w:spacing w:before="40" w:after="40"/>
            </w:pPr>
            <w:r>
              <w:rPr>
                <w:rFonts w:ascii="Calibri" w:hAnsi="Calibri"/>
                <w:color w:val="404040"/>
                <w:sz w:val="17"/>
              </w:rPr>
              <w:t>Baja</w:t>
            </w:r>
          </w:p>
        </w:tc>
        <w:tc>
          <w:tcPr>
            <w:tcW w:type="dxa" w:w="5669"/>
            <w:shd w:val="clear" w:color="auto" w:fill="FFFFFF"/>
            <w:vAlign w:val="center"/>
          </w:tcPr>
          <w:p>
            <w:pPr>
              <w:spacing w:before="40" w:after="40"/>
            </w:pPr>
            <w:r>
              <w:rPr>
                <w:rFonts w:ascii="Calibri" w:hAnsi="Calibri"/>
                <w:color w:val="404040"/>
                <w:sz w:val="17"/>
              </w:rPr>
              <w:t>Caché local 30 días + Hargreaves fallback automático</w:t>
            </w:r>
          </w:p>
        </w:tc>
      </w:tr>
      <w:tr>
        <w:tc>
          <w:tcPr>
            <w:tcW w:type="dxa" w:w="3118"/>
            <w:shd w:val="clear" w:color="auto" w:fill="DDEAF7"/>
            <w:vAlign w:val="center"/>
          </w:tcPr>
          <w:p>
            <w:pPr>
              <w:spacing w:before="40" w:after="40"/>
            </w:pPr>
            <w:r>
              <w:rPr>
                <w:rFonts w:ascii="Calibri" w:hAnsi="Calibri"/>
                <w:color w:val="404040"/>
                <w:sz w:val="17"/>
              </w:rPr>
              <w:t>Competidor con mayor presupuesto</w:t>
            </w:r>
          </w:p>
        </w:tc>
        <w:tc>
          <w:tcPr>
            <w:tcW w:type="dxa" w:w="680"/>
            <w:shd w:val="clear" w:color="auto" w:fill="DDEAF7"/>
            <w:vAlign w:val="center"/>
          </w:tcPr>
          <w:p>
            <w:pPr>
              <w:spacing w:before="40" w:after="40"/>
            </w:pPr>
            <w:r>
              <w:rPr>
                <w:rFonts w:ascii="Calibri" w:hAnsi="Calibri"/>
                <w:color w:val="404040"/>
                <w:sz w:val="17"/>
              </w:rPr>
              <w:t>Media</w:t>
            </w:r>
          </w:p>
        </w:tc>
        <w:tc>
          <w:tcPr>
            <w:tcW w:type="dxa" w:w="5669"/>
            <w:shd w:val="clear" w:color="auto" w:fill="DDEAF7"/>
            <w:vAlign w:val="center"/>
          </w:tcPr>
          <w:p>
            <w:pPr>
              <w:spacing w:before="40" w:after="40"/>
            </w:pPr>
            <w:r>
              <w:rPr>
                <w:rFonts w:ascii="Calibri" w:hAnsi="Calibri"/>
                <w:color w:val="404040"/>
                <w:sz w:val="17"/>
              </w:rPr>
              <w:t>Ventaja: contexto local + costo cero datos NASA + voz español</w:t>
            </w:r>
          </w:p>
        </w:tc>
      </w:tr>
      <w:tr>
        <w:tc>
          <w:tcPr>
            <w:tcW w:type="dxa" w:w="3118"/>
            <w:shd w:val="clear" w:color="auto" w:fill="FFFFFF"/>
            <w:vAlign w:val="center"/>
          </w:tcPr>
          <w:p>
            <w:pPr>
              <w:spacing w:before="40" w:after="40"/>
            </w:pPr>
            <w:r>
              <w:rPr>
                <w:rFonts w:ascii="Calibri" w:hAnsi="Calibri"/>
                <w:color w:val="404040"/>
                <w:sz w:val="17"/>
              </w:rPr>
              <w:t>Imprecisión sin sensores IoT</w:t>
            </w:r>
          </w:p>
        </w:tc>
        <w:tc>
          <w:tcPr>
            <w:tcW w:type="dxa" w:w="680"/>
            <w:shd w:val="clear" w:color="auto" w:fill="FFFFFF"/>
            <w:vAlign w:val="center"/>
          </w:tcPr>
          <w:p>
            <w:pPr>
              <w:spacing w:before="40" w:after="40"/>
            </w:pPr>
            <w:r>
              <w:rPr>
                <w:rFonts w:ascii="Calibri" w:hAnsi="Calibri"/>
                <w:color w:val="404040"/>
                <w:sz w:val="17"/>
              </w:rPr>
              <w:t>Media</w:t>
            </w:r>
          </w:p>
        </w:tc>
        <w:tc>
          <w:tcPr>
            <w:tcW w:type="dxa" w:w="5669"/>
            <w:shd w:val="clear" w:color="auto" w:fill="FFFFFF"/>
            <w:vAlign w:val="center"/>
          </w:tcPr>
          <w:p>
            <w:pPr>
              <w:spacing w:before="40" w:after="40"/>
            </w:pPr>
            <w:r>
              <w:rPr>
                <w:rFonts w:ascii="Calibri" w:hAnsi="Calibri"/>
                <w:color w:val="404040"/>
                <w:sz w:val="17"/>
              </w:rPr>
              <w:t>propagar_balance_hidrico() reduce sesgo; IoT planeado Fase B</w:t>
            </w:r>
          </w:p>
        </w:tc>
      </w:tr>
    </w:tbl>
    <w:p>
      <w:pPr>
        <w:spacing w:after="60"/>
      </w:pP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551"/>
            <w:shd w:val="clear" w:color="auto" w:fill="1F497D"/>
            <w:vAlign w:val="center"/>
          </w:tcPr>
          <w:p>
            <w:pPr>
              <w:spacing w:before="40" w:after="40"/>
            </w:pPr>
            <w:r>
              <w:rPr>
                <w:rFonts w:ascii="Calibri" w:hAnsi="Calibri"/>
                <w:b/>
                <w:color w:val="FFFFFF"/>
                <w:sz w:val="17"/>
              </w:rPr>
              <w:t>Fuente de financiamiento</w:t>
            </w:r>
          </w:p>
        </w:tc>
        <w:tc>
          <w:tcPr>
            <w:tcW w:type="dxa" w:w="1417"/>
            <w:shd w:val="clear" w:color="auto" w:fill="1F497D"/>
            <w:vAlign w:val="center"/>
          </w:tcPr>
          <w:p>
            <w:pPr>
              <w:spacing w:before="40" w:after="40"/>
            </w:pPr>
            <w:r>
              <w:rPr>
                <w:rFonts w:ascii="Calibri" w:hAnsi="Calibri"/>
                <w:b/>
                <w:color w:val="FFFFFF"/>
                <w:sz w:val="17"/>
              </w:rPr>
              <w:t>Monto</w:t>
            </w:r>
          </w:p>
        </w:tc>
        <w:tc>
          <w:tcPr>
            <w:tcW w:type="dxa" w:w="1247"/>
            <w:shd w:val="clear" w:color="auto" w:fill="1F497D"/>
            <w:vAlign w:val="center"/>
          </w:tcPr>
          <w:p>
            <w:pPr>
              <w:spacing w:before="40" w:after="40"/>
            </w:pPr>
            <w:r>
              <w:rPr>
                <w:rFonts w:ascii="Calibri" w:hAnsi="Calibri"/>
                <w:b/>
                <w:color w:val="FFFFFF"/>
                <w:sz w:val="17"/>
              </w:rPr>
              <w:t>Horizonte</w:t>
            </w:r>
          </w:p>
        </w:tc>
        <w:tc>
          <w:tcPr>
            <w:tcW w:type="dxa" w:w="4195"/>
            <w:shd w:val="clear" w:color="auto" w:fill="1F497D"/>
            <w:vAlign w:val="center"/>
          </w:tcPr>
          <w:p>
            <w:pPr>
              <w:spacing w:before="40" w:after="40"/>
            </w:pPr>
            <w:r>
              <w:rPr>
                <w:rFonts w:ascii="Calibri" w:hAnsi="Calibri"/>
                <w:b/>
                <w:color w:val="FFFFFF"/>
                <w:sz w:val="17"/>
              </w:rPr>
              <w:t>Acción</w:t>
            </w:r>
          </w:p>
        </w:tc>
      </w:tr>
      <w:tr>
        <w:tc>
          <w:tcPr>
            <w:tcW w:type="dxa" w:w="2551"/>
            <w:shd w:val="clear" w:color="auto" w:fill="FFFFFF"/>
            <w:vAlign w:val="center"/>
          </w:tcPr>
          <w:p>
            <w:pPr>
              <w:spacing w:before="40" w:after="40"/>
            </w:pPr>
            <w:r>
              <w:rPr>
                <w:rFonts w:ascii="Calibri" w:hAnsi="Calibri"/>
                <w:color w:val="404040"/>
                <w:sz w:val="17"/>
              </w:rPr>
              <w:t>Capital propio equipo fundador</w:t>
            </w:r>
          </w:p>
        </w:tc>
        <w:tc>
          <w:tcPr>
            <w:tcW w:type="dxa" w:w="1417"/>
            <w:shd w:val="clear" w:color="auto" w:fill="FFFFFF"/>
            <w:vAlign w:val="center"/>
          </w:tcPr>
          <w:p>
            <w:pPr>
              <w:spacing w:before="40" w:after="40"/>
            </w:pPr>
            <w:r>
              <w:rPr>
                <w:rFonts w:ascii="Calibri" w:hAnsi="Calibri"/>
                <w:color w:val="404040"/>
                <w:sz w:val="17"/>
              </w:rPr>
              <w:t>$150–200K MXN</w:t>
            </w:r>
          </w:p>
        </w:tc>
        <w:tc>
          <w:tcPr>
            <w:tcW w:type="dxa" w:w="1247"/>
            <w:shd w:val="clear" w:color="auto" w:fill="FFFFFF"/>
            <w:vAlign w:val="center"/>
          </w:tcPr>
          <w:p>
            <w:pPr>
              <w:spacing w:before="40" w:after="40"/>
            </w:pPr>
            <w:r>
              <w:rPr>
                <w:rFonts w:ascii="Calibri" w:hAnsi="Calibri"/>
                <w:color w:val="404040"/>
                <w:sz w:val="17"/>
              </w:rPr>
              <w:t>Inmediato</w:t>
            </w:r>
          </w:p>
        </w:tc>
        <w:tc>
          <w:tcPr>
            <w:tcW w:type="dxa" w:w="4195"/>
            <w:shd w:val="clear" w:color="auto" w:fill="FFFFFF"/>
            <w:vAlign w:val="center"/>
          </w:tcPr>
          <w:p>
            <w:pPr>
              <w:spacing w:before="40" w:after="40"/>
            </w:pPr>
            <w:r>
              <w:rPr>
                <w:rFonts w:ascii="Calibri" w:hAnsi="Calibri"/>
                <w:color w:val="404040"/>
                <w:sz w:val="17"/>
              </w:rPr>
              <w:t>Comprometer para arranque</w:t>
            </w:r>
          </w:p>
        </w:tc>
      </w:tr>
      <w:tr>
        <w:tc>
          <w:tcPr>
            <w:tcW w:type="dxa" w:w="2551"/>
            <w:shd w:val="clear" w:color="auto" w:fill="DDEAF7"/>
            <w:vAlign w:val="center"/>
          </w:tcPr>
          <w:p>
            <w:pPr>
              <w:spacing w:before="40" w:after="40"/>
            </w:pPr>
            <w:r>
              <w:rPr>
                <w:rFonts w:ascii="Calibri" w:hAnsi="Calibri"/>
                <w:color w:val="404040"/>
                <w:sz w:val="17"/>
              </w:rPr>
              <w:t>CONAHCYT — PITN</w:t>
            </w:r>
          </w:p>
        </w:tc>
        <w:tc>
          <w:tcPr>
            <w:tcW w:type="dxa" w:w="1417"/>
            <w:shd w:val="clear" w:color="auto" w:fill="DDEAF7"/>
            <w:vAlign w:val="center"/>
          </w:tcPr>
          <w:p>
            <w:pPr>
              <w:spacing w:before="40" w:after="40"/>
            </w:pPr>
            <w:r>
              <w:rPr>
                <w:rFonts w:ascii="Calibri" w:hAnsi="Calibri"/>
                <w:color w:val="404040"/>
                <w:sz w:val="17"/>
              </w:rPr>
              <w:t>Hasta $3M MXN</w:t>
            </w:r>
          </w:p>
        </w:tc>
        <w:tc>
          <w:tcPr>
            <w:tcW w:type="dxa" w:w="1247"/>
            <w:shd w:val="clear" w:color="auto" w:fill="DDEAF7"/>
            <w:vAlign w:val="center"/>
          </w:tcPr>
          <w:p>
            <w:pPr>
              <w:spacing w:before="40" w:after="40"/>
            </w:pPr>
            <w:r>
              <w:rPr>
                <w:rFonts w:ascii="Calibri" w:hAnsi="Calibri"/>
                <w:color w:val="404040"/>
                <w:sz w:val="17"/>
              </w:rPr>
              <w:t>6–9 meses</w:t>
            </w:r>
          </w:p>
        </w:tc>
        <w:tc>
          <w:tcPr>
            <w:tcW w:type="dxa" w:w="4195"/>
            <w:shd w:val="clear" w:color="auto" w:fill="DDEAF7"/>
            <w:vAlign w:val="center"/>
          </w:tcPr>
          <w:p>
            <w:pPr>
              <w:spacing w:before="40" w:after="40"/>
            </w:pPr>
            <w:r>
              <w:rPr>
                <w:rFonts w:ascii="Calibri" w:hAnsi="Calibri"/>
                <w:color w:val="404040"/>
                <w:sz w:val="17"/>
              </w:rPr>
              <w:t>Presentar eje agua+seguridad alimentaria</w:t>
            </w:r>
          </w:p>
        </w:tc>
      </w:tr>
      <w:tr>
        <w:tc>
          <w:tcPr>
            <w:tcW w:type="dxa" w:w="2551"/>
            <w:shd w:val="clear" w:color="auto" w:fill="FFFFFF"/>
            <w:vAlign w:val="center"/>
          </w:tcPr>
          <w:p>
            <w:pPr>
              <w:spacing w:before="40" w:after="40"/>
            </w:pPr>
            <w:r>
              <w:rPr>
                <w:rFonts w:ascii="Calibri" w:hAnsi="Calibri"/>
                <w:color w:val="404040"/>
                <w:sz w:val="17"/>
              </w:rPr>
              <w:t>FIRA — crédito blando agronegocios</w:t>
            </w:r>
          </w:p>
        </w:tc>
        <w:tc>
          <w:tcPr>
            <w:tcW w:type="dxa" w:w="1417"/>
            <w:shd w:val="clear" w:color="auto" w:fill="FFFFFF"/>
            <w:vAlign w:val="center"/>
          </w:tcPr>
          <w:p>
            <w:pPr>
              <w:spacing w:before="40" w:after="40"/>
            </w:pPr>
            <w:r>
              <w:rPr>
                <w:rFonts w:ascii="Calibri" w:hAnsi="Calibri"/>
                <w:color w:val="404040"/>
                <w:sz w:val="17"/>
              </w:rPr>
              <w:t>Variable</w:t>
            </w:r>
          </w:p>
        </w:tc>
        <w:tc>
          <w:tcPr>
            <w:tcW w:type="dxa" w:w="1247"/>
            <w:shd w:val="clear" w:color="auto" w:fill="FFFFFF"/>
            <w:vAlign w:val="center"/>
          </w:tcPr>
          <w:p>
            <w:pPr>
              <w:spacing w:before="40" w:after="40"/>
            </w:pPr>
            <w:r>
              <w:rPr>
                <w:rFonts w:ascii="Calibri" w:hAnsi="Calibri"/>
                <w:color w:val="404040"/>
                <w:sz w:val="17"/>
              </w:rPr>
              <w:t>3–6 meses</w:t>
            </w:r>
          </w:p>
        </w:tc>
        <w:tc>
          <w:tcPr>
            <w:tcW w:type="dxa" w:w="4195"/>
            <w:shd w:val="clear" w:color="auto" w:fill="FFFFFF"/>
            <w:vAlign w:val="center"/>
          </w:tcPr>
          <w:p>
            <w:pPr>
              <w:spacing w:before="40" w:after="40"/>
            </w:pPr>
            <w:r>
              <w:rPr>
                <w:rFonts w:ascii="Calibri" w:hAnsi="Calibri"/>
                <w:color w:val="404040"/>
                <w:sz w:val="17"/>
              </w:rPr>
              <w:t>Tasa 8–10% vs. mercado 18–22%</w:t>
            </w:r>
          </w:p>
        </w:tc>
      </w:tr>
      <w:tr>
        <w:tc>
          <w:tcPr>
            <w:tcW w:type="dxa" w:w="2551"/>
            <w:shd w:val="clear" w:color="auto" w:fill="DDEAF7"/>
            <w:vAlign w:val="center"/>
          </w:tcPr>
          <w:p>
            <w:pPr>
              <w:spacing w:before="40" w:after="40"/>
            </w:pPr>
            <w:r>
              <w:rPr>
                <w:rFonts w:ascii="Calibri" w:hAnsi="Calibri"/>
                <w:color w:val="404040"/>
                <w:sz w:val="17"/>
              </w:rPr>
              <w:t>CONAGUA PROMARNAT eficiencia hídrica</w:t>
            </w:r>
          </w:p>
        </w:tc>
        <w:tc>
          <w:tcPr>
            <w:tcW w:type="dxa" w:w="1417"/>
            <w:shd w:val="clear" w:color="auto" w:fill="DDEAF7"/>
            <w:vAlign w:val="center"/>
          </w:tcPr>
          <w:p>
            <w:pPr>
              <w:spacing w:before="40" w:after="40"/>
            </w:pPr>
            <w:r>
              <w:rPr>
                <w:rFonts w:ascii="Calibri" w:hAnsi="Calibri"/>
                <w:color w:val="404040"/>
                <w:sz w:val="17"/>
              </w:rPr>
              <w:t>Variable</w:t>
            </w:r>
          </w:p>
        </w:tc>
        <w:tc>
          <w:tcPr>
            <w:tcW w:type="dxa" w:w="1247"/>
            <w:shd w:val="clear" w:color="auto" w:fill="DDEAF7"/>
            <w:vAlign w:val="center"/>
          </w:tcPr>
          <w:p>
            <w:pPr>
              <w:spacing w:before="40" w:after="40"/>
            </w:pPr>
            <w:r>
              <w:rPr>
                <w:rFonts w:ascii="Calibri" w:hAnsi="Calibri"/>
                <w:color w:val="404040"/>
                <w:sz w:val="17"/>
              </w:rPr>
              <w:t>6–12 meses</w:t>
            </w:r>
          </w:p>
        </w:tc>
        <w:tc>
          <w:tcPr>
            <w:tcW w:type="dxa" w:w="4195"/>
            <w:shd w:val="clear" w:color="auto" w:fill="DDEAF7"/>
            <w:vAlign w:val="center"/>
          </w:tcPr>
          <w:p>
            <w:pPr>
              <w:spacing w:before="40" w:after="40"/>
            </w:pPr>
            <w:r>
              <w:rPr>
                <w:rFonts w:ascii="Calibri" w:hAnsi="Calibri"/>
                <w:color w:val="404040"/>
                <w:sz w:val="17"/>
              </w:rPr>
              <w:t>Encaje directo en programa</w:t>
            </w:r>
          </w:p>
        </w:tc>
      </w:tr>
      <w:tr>
        <w:tc>
          <w:tcPr>
            <w:tcW w:type="dxa" w:w="2551"/>
            <w:shd w:val="clear" w:color="auto" w:fill="FFFFFF"/>
            <w:vAlign w:val="center"/>
          </w:tcPr>
          <w:p>
            <w:pPr>
              <w:spacing w:before="40" w:after="40"/>
            </w:pPr>
            <w:r>
              <w:rPr>
                <w:rFonts w:ascii="Calibri" w:hAnsi="Calibri"/>
                <w:color w:val="404040"/>
                <w:sz w:val="17"/>
              </w:rPr>
              <w:t>Ronda Ángel (Año 2)</w:t>
            </w:r>
          </w:p>
        </w:tc>
        <w:tc>
          <w:tcPr>
            <w:tcW w:type="dxa" w:w="1417"/>
            <w:shd w:val="clear" w:color="auto" w:fill="FFFFFF"/>
            <w:vAlign w:val="center"/>
          </w:tcPr>
          <w:p>
            <w:pPr>
              <w:spacing w:before="40" w:after="40"/>
            </w:pPr>
            <w:r>
              <w:rPr>
                <w:rFonts w:ascii="Calibri" w:hAnsi="Calibri"/>
                <w:color w:val="404040"/>
                <w:sz w:val="17"/>
              </w:rPr>
              <w:t>$3–5M MXN</w:t>
            </w:r>
          </w:p>
        </w:tc>
        <w:tc>
          <w:tcPr>
            <w:tcW w:type="dxa" w:w="1247"/>
            <w:shd w:val="clear" w:color="auto" w:fill="FFFFFF"/>
            <w:vAlign w:val="center"/>
          </w:tcPr>
          <w:p>
            <w:pPr>
              <w:spacing w:before="40" w:after="40"/>
            </w:pPr>
            <w:r>
              <w:rPr>
                <w:rFonts w:ascii="Calibri" w:hAnsi="Calibri"/>
                <w:color w:val="404040"/>
                <w:sz w:val="17"/>
              </w:rPr>
              <w:t>12–18 meses</w:t>
            </w:r>
          </w:p>
        </w:tc>
        <w:tc>
          <w:tcPr>
            <w:tcW w:type="dxa" w:w="4195"/>
            <w:shd w:val="clear" w:color="auto" w:fill="FFFFFF"/>
            <w:vAlign w:val="center"/>
          </w:tcPr>
          <w:p>
            <w:pPr>
              <w:spacing w:before="40" w:after="40"/>
            </w:pPr>
            <w:r>
              <w:rPr>
                <w:rFonts w:ascii="Calibri" w:hAnsi="Calibri"/>
                <w:color w:val="404040"/>
                <w:sz w:val="17"/>
              </w:rPr>
              <w:t>Después del piloto demostrado</w:t>
            </w:r>
          </w:p>
        </w:tc>
      </w:tr>
    </w:tbl>
    <w:p>
      <w:pPr>
        <w:spacing w:after="60"/>
      </w:pPr>
    </w:p>
    <w:p>
      <w:r>
        <w:br/>
      </w:r>
    </w:p>
    <w:p>
      <w:pPr>
        <w:pStyle w:val="Heading1"/>
        <w:shd w:val="clear" w:color="auto" w:fill="1F497D"/>
      </w:pPr>
      <w:r>
        <w:rPr>
          <w:b/>
          <w:color w:val="FFFFFF"/>
        </w:rPr>
        <w:t>PARTE II — ARQUITECTURA TÉCNICA Y MACHINE LEARNING</w:t>
      </w:r>
    </w:p>
    <w:p>
      <w:pPr>
        <w:pStyle w:val="Heading1"/>
        <w:shd w:val="clear" w:color="auto" w:fill="1F497D"/>
      </w:pPr>
      <w:r>
        <w:rPr>
          <w:b/>
          <w:color w:val="FFFFFF"/>
        </w:rPr>
        <w:t>V.  Metodología — CRISP-DM + FAO-56</w:t>
      </w:r>
    </w:p>
    <w:p>
      <w:pPr>
        <w:pStyle w:val="Heading2"/>
        <w:pBdr>
          <w:bottom w:val="single" w:sz="4" w:space="1" w:color="2E75B6"/>
        </w:pBdr>
      </w:pPr>
      <w:r>
        <w:t>5.1  CRISP-DM Aplicado</w:t>
      </w:r>
    </w:p>
    <w:tbl>
      <w:tblPr>
        <w:tblStyle w:val="TableGrid"/>
        <w:tblW w:type="auto" w:w="0"/>
        <w:jc w:val="left"/>
        <w:tblLook w:firstColumn="1" w:firstRow="1" w:lastColumn="0" w:lastRow="0" w:noHBand="0" w:noVBand="1" w:val="04A0"/>
      </w:tblPr>
      <w:tblGrid>
        <w:gridCol w:w="3137"/>
        <w:gridCol w:w="3137"/>
        <w:gridCol w:w="3137"/>
      </w:tblGrid>
      <w:tr>
        <w:tc>
          <w:tcPr>
            <w:tcW w:type="dxa" w:w="1701"/>
            <w:shd w:val="clear" w:color="auto" w:fill="1F497D"/>
            <w:vAlign w:val="center"/>
          </w:tcPr>
          <w:p>
            <w:pPr>
              <w:spacing w:before="40" w:after="40"/>
            </w:pPr>
            <w:r>
              <w:rPr>
                <w:rFonts w:ascii="Calibri" w:hAnsi="Calibri"/>
                <w:b/>
                <w:color w:val="FFFFFF"/>
                <w:sz w:val="17"/>
              </w:rPr>
              <w:t>Fase</w:t>
            </w:r>
          </w:p>
        </w:tc>
        <w:tc>
          <w:tcPr>
            <w:tcW w:type="dxa" w:w="4252"/>
            <w:shd w:val="clear" w:color="auto" w:fill="1F497D"/>
            <w:vAlign w:val="center"/>
          </w:tcPr>
          <w:p>
            <w:pPr>
              <w:spacing w:before="40" w:after="40"/>
            </w:pPr>
            <w:r>
              <w:rPr>
                <w:rFonts w:ascii="Calibri" w:hAnsi="Calibri"/>
                <w:b/>
                <w:color w:val="FFFFFF"/>
                <w:sz w:val="17"/>
              </w:rPr>
              <w:t>Aplicación en MILPÍN</w:t>
            </w:r>
          </w:p>
        </w:tc>
        <w:tc>
          <w:tcPr>
            <w:tcW w:type="dxa" w:w="3458"/>
            <w:shd w:val="clear" w:color="auto" w:fill="1F497D"/>
            <w:vAlign w:val="center"/>
          </w:tcPr>
          <w:p>
            <w:pPr>
              <w:spacing w:before="40" w:after="40"/>
            </w:pPr>
            <w:r>
              <w:rPr>
                <w:rFonts w:ascii="Calibri" w:hAnsi="Calibri"/>
                <w:b/>
                <w:color w:val="FFFFFF"/>
                <w:sz w:val="17"/>
              </w:rPr>
              <w:t>Entregable</w:t>
            </w:r>
          </w:p>
        </w:tc>
      </w:tr>
      <w:tr>
        <w:tc>
          <w:tcPr>
            <w:tcW w:type="dxa" w:w="1701"/>
            <w:shd w:val="clear" w:color="auto" w:fill="FFFFFF"/>
            <w:vAlign w:val="center"/>
          </w:tcPr>
          <w:p>
            <w:pPr>
              <w:spacing w:before="40" w:after="40"/>
            </w:pPr>
            <w:r>
              <w:rPr>
                <w:rFonts w:ascii="Calibri" w:hAnsi="Calibri"/>
                <w:color w:val="404040"/>
                <w:sz w:val="17"/>
              </w:rPr>
              <w:t>1. Comprensión Negocio</w:t>
            </w:r>
          </w:p>
        </w:tc>
        <w:tc>
          <w:tcPr>
            <w:tcW w:type="dxa" w:w="4252"/>
            <w:shd w:val="clear" w:color="auto" w:fill="FFFFFF"/>
            <w:vAlign w:val="center"/>
          </w:tcPr>
          <w:p>
            <w:pPr>
              <w:spacing w:before="40" w:after="40"/>
            </w:pPr>
            <w:r>
              <w:rPr>
                <w:rFonts w:ascii="Calibri" w:hAnsi="Calibri"/>
                <w:color w:val="404040"/>
                <w:sz w:val="17"/>
              </w:rPr>
              <w:t>KPI hídrico DR-041; análisis Módulo 3</w:t>
            </w:r>
          </w:p>
        </w:tc>
        <w:tc>
          <w:tcPr>
            <w:tcW w:type="dxa" w:w="3458"/>
            <w:shd w:val="clear" w:color="auto" w:fill="FFFFFF"/>
            <w:vAlign w:val="center"/>
          </w:tcPr>
          <w:p>
            <w:pPr>
              <w:spacing w:before="40" w:after="40"/>
            </w:pPr>
            <w:r>
              <w:rPr>
                <w:rFonts w:ascii="Calibri" w:hAnsi="Calibri"/>
                <w:color w:val="404040"/>
                <w:sz w:val="17"/>
              </w:rPr>
              <w:t>Objetivos y alcance definidos</w:t>
            </w:r>
          </w:p>
        </w:tc>
      </w:tr>
      <w:tr>
        <w:tc>
          <w:tcPr>
            <w:tcW w:type="dxa" w:w="1701"/>
            <w:shd w:val="clear" w:color="auto" w:fill="DDEAF7"/>
            <w:vAlign w:val="center"/>
          </w:tcPr>
          <w:p>
            <w:pPr>
              <w:spacing w:before="40" w:after="40"/>
            </w:pPr>
            <w:r>
              <w:rPr>
                <w:rFonts w:ascii="Calibri" w:hAnsi="Calibri"/>
                <w:color w:val="404040"/>
                <w:sz w:val="17"/>
              </w:rPr>
              <w:t>2. Comprensión Datos</w:t>
            </w:r>
          </w:p>
        </w:tc>
        <w:tc>
          <w:tcPr>
            <w:tcW w:type="dxa" w:w="4252"/>
            <w:shd w:val="clear" w:color="auto" w:fill="DDEAF7"/>
            <w:vAlign w:val="center"/>
          </w:tcPr>
          <w:p>
            <w:pPr>
              <w:spacing w:before="40" w:after="40"/>
            </w:pPr>
            <w:r>
              <w:rPr>
                <w:rFonts w:ascii="Calibri" w:hAnsi="Calibri"/>
                <w:color w:val="404040"/>
                <w:sz w:val="17"/>
              </w:rPr>
              <w:t>13 preguntas EDA sobre NASA POWER + edáficos</w:t>
            </w:r>
          </w:p>
        </w:tc>
        <w:tc>
          <w:tcPr>
            <w:tcW w:type="dxa" w:w="3458"/>
            <w:shd w:val="clear" w:color="auto" w:fill="DDEAF7"/>
            <w:vAlign w:val="center"/>
          </w:tcPr>
          <w:p>
            <w:pPr>
              <w:spacing w:before="40" w:after="40"/>
            </w:pPr>
            <w:r>
              <w:rPr>
                <w:rFonts w:ascii="Calibri" w:hAnsi="Calibri"/>
                <w:color w:val="404040"/>
                <w:sz w:val="17"/>
              </w:rPr>
              <w:t>EDA, outliers, correlaciones</w:t>
            </w:r>
          </w:p>
        </w:tc>
      </w:tr>
      <w:tr>
        <w:tc>
          <w:tcPr>
            <w:tcW w:type="dxa" w:w="1701"/>
            <w:shd w:val="clear" w:color="auto" w:fill="FFFFFF"/>
            <w:vAlign w:val="center"/>
          </w:tcPr>
          <w:p>
            <w:pPr>
              <w:spacing w:before="40" w:after="40"/>
            </w:pPr>
            <w:r>
              <w:rPr>
                <w:rFonts w:ascii="Calibri" w:hAnsi="Calibri"/>
                <w:color w:val="404040"/>
                <w:sz w:val="17"/>
              </w:rPr>
              <w:t>3. Preparación Datos</w:t>
            </w:r>
          </w:p>
        </w:tc>
        <w:tc>
          <w:tcPr>
            <w:tcW w:type="dxa" w:w="4252"/>
            <w:shd w:val="clear" w:color="auto" w:fill="FFFFFF"/>
            <w:vAlign w:val="center"/>
          </w:tcPr>
          <w:p>
            <w:pPr>
              <w:spacing w:before="40" w:after="40"/>
            </w:pPr>
            <w:r>
              <w:rPr>
                <w:rFonts w:ascii="Calibri" w:hAnsi="Calibri"/>
                <w:color w:val="404040"/>
                <w:sz w:val="17"/>
              </w:rPr>
              <w:t>ETL nasa_power_etl.py: validación rangos, imputación, cálculo ETo</w:t>
            </w:r>
          </w:p>
        </w:tc>
        <w:tc>
          <w:tcPr>
            <w:tcW w:type="dxa" w:w="3458"/>
            <w:shd w:val="clear" w:color="auto" w:fill="FFFFFF"/>
            <w:vAlign w:val="center"/>
          </w:tcPr>
          <w:p>
            <w:pPr>
              <w:spacing w:before="40" w:after="40"/>
            </w:pPr>
            <w:r>
              <w:rPr>
                <w:rFonts w:ascii="Calibri" w:hAnsi="Calibri"/>
                <w:color w:val="404040"/>
                <w:sz w:val="17"/>
              </w:rPr>
              <w:t>tabla clima_diario limpia</w:t>
            </w:r>
          </w:p>
        </w:tc>
      </w:tr>
      <w:tr>
        <w:tc>
          <w:tcPr>
            <w:tcW w:type="dxa" w:w="1701"/>
            <w:shd w:val="clear" w:color="auto" w:fill="DDEAF7"/>
            <w:vAlign w:val="center"/>
          </w:tcPr>
          <w:p>
            <w:pPr>
              <w:spacing w:before="40" w:after="40"/>
            </w:pPr>
            <w:r>
              <w:rPr>
                <w:rFonts w:ascii="Calibri" w:hAnsi="Calibri"/>
                <w:color w:val="404040"/>
                <w:sz w:val="17"/>
              </w:rPr>
              <w:t>4. Modelado</w:t>
            </w:r>
          </w:p>
        </w:tc>
        <w:tc>
          <w:tcPr>
            <w:tcW w:type="dxa" w:w="4252"/>
            <w:shd w:val="clear" w:color="auto" w:fill="DDEAF7"/>
            <w:vAlign w:val="center"/>
          </w:tcPr>
          <w:p>
            <w:pPr>
              <w:spacing w:before="40" w:after="40"/>
            </w:pPr>
            <w:r>
              <w:rPr>
                <w:rFonts w:ascii="Calibri" w:hAnsi="Calibri"/>
                <w:color w:val="404040"/>
                <w:sz w:val="17"/>
              </w:rPr>
              <w:t>FAO-56 (determinístico), Ridge ETo, XGBoost M1/M2, Isolation Forest</w:t>
            </w:r>
          </w:p>
        </w:tc>
        <w:tc>
          <w:tcPr>
            <w:tcW w:type="dxa" w:w="3458"/>
            <w:shd w:val="clear" w:color="auto" w:fill="DDEAF7"/>
            <w:vAlign w:val="center"/>
          </w:tcPr>
          <w:p>
            <w:pPr>
              <w:spacing w:before="40" w:after="40"/>
            </w:pPr>
            <w:r>
              <w:rPr>
                <w:rFonts w:ascii="Calibri" w:hAnsi="Calibri"/>
                <w:color w:val="404040"/>
                <w:sz w:val="17"/>
              </w:rPr>
              <w:t>Modelos entrenados</w:t>
            </w:r>
          </w:p>
        </w:tc>
      </w:tr>
      <w:tr>
        <w:tc>
          <w:tcPr>
            <w:tcW w:type="dxa" w:w="1701"/>
            <w:shd w:val="clear" w:color="auto" w:fill="FFFFFF"/>
            <w:vAlign w:val="center"/>
          </w:tcPr>
          <w:p>
            <w:pPr>
              <w:spacing w:before="40" w:after="40"/>
            </w:pPr>
            <w:r>
              <w:rPr>
                <w:rFonts w:ascii="Calibri" w:hAnsi="Calibri"/>
                <w:color w:val="404040"/>
                <w:sz w:val="17"/>
              </w:rPr>
              <w:t>5. Evaluación</w:t>
            </w:r>
          </w:p>
        </w:tc>
        <w:tc>
          <w:tcPr>
            <w:tcW w:type="dxa" w:w="4252"/>
            <w:shd w:val="clear" w:color="auto" w:fill="FFFFFF"/>
            <w:vAlign w:val="center"/>
          </w:tcPr>
          <w:p>
            <w:pPr>
              <w:spacing w:before="40" w:after="40"/>
            </w:pPr>
            <w:r>
              <w:rPr>
                <w:rFonts w:ascii="Calibri" w:hAnsi="Calibri"/>
                <w:color w:val="404040"/>
                <w:sz w:val="17"/>
              </w:rPr>
              <w:t>77 tests (42 unit + 35 e2e), CV 5-fold Ridge y XGBoost</w:t>
            </w:r>
          </w:p>
        </w:tc>
        <w:tc>
          <w:tcPr>
            <w:tcW w:type="dxa" w:w="3458"/>
            <w:shd w:val="clear" w:color="auto" w:fill="FFFFFF"/>
            <w:vAlign w:val="center"/>
          </w:tcPr>
          <w:p>
            <w:pPr>
              <w:spacing w:before="40" w:after="40"/>
            </w:pPr>
            <w:r>
              <w:rPr>
                <w:rFonts w:ascii="Calibri" w:hAnsi="Calibri"/>
                <w:color w:val="404040"/>
                <w:sz w:val="17"/>
              </w:rPr>
              <w:t>Métricas RMSE/R²/F1</w:t>
            </w:r>
          </w:p>
        </w:tc>
      </w:tr>
      <w:tr>
        <w:tc>
          <w:tcPr>
            <w:tcW w:type="dxa" w:w="1701"/>
            <w:shd w:val="clear" w:color="auto" w:fill="DDEAF7"/>
            <w:vAlign w:val="center"/>
          </w:tcPr>
          <w:p>
            <w:pPr>
              <w:spacing w:before="40" w:after="40"/>
            </w:pPr>
            <w:r>
              <w:rPr>
                <w:rFonts w:ascii="Calibri" w:hAnsi="Calibri"/>
                <w:color w:val="404040"/>
                <w:sz w:val="17"/>
              </w:rPr>
              <w:t>6. Despliegue</w:t>
            </w:r>
          </w:p>
        </w:tc>
        <w:tc>
          <w:tcPr>
            <w:tcW w:type="dxa" w:w="4252"/>
            <w:shd w:val="clear" w:color="auto" w:fill="DDEAF7"/>
            <w:vAlign w:val="center"/>
          </w:tcPr>
          <w:p>
            <w:pPr>
              <w:spacing w:before="40" w:after="40"/>
            </w:pPr>
            <w:r>
              <w:rPr>
                <w:rFonts w:ascii="Calibri" w:hAnsi="Calibri"/>
                <w:color w:val="404040"/>
                <w:sz w:val="17"/>
              </w:rPr>
              <w:t>FastAPI + Uvicorn + Docker Compose + Leaflet frontend</w:t>
            </w:r>
          </w:p>
        </w:tc>
        <w:tc>
          <w:tcPr>
            <w:tcW w:type="dxa" w:w="3458"/>
            <w:shd w:val="clear" w:color="auto" w:fill="DDEAF7"/>
            <w:vAlign w:val="center"/>
          </w:tcPr>
          <w:p>
            <w:pPr>
              <w:spacing w:before="40" w:after="40"/>
            </w:pPr>
            <w:r>
              <w:rPr>
                <w:rFonts w:ascii="Calibri" w:hAnsi="Calibri"/>
                <w:color w:val="404040"/>
                <w:sz w:val="17"/>
              </w:rPr>
              <w:t>Pre-MVP funcional actual</w:t>
            </w:r>
          </w:p>
        </w:tc>
      </w:tr>
    </w:tbl>
    <w:p>
      <w:pPr>
        <w:spacing w:after="60"/>
      </w:pPr>
    </w:p>
    <w:p>
      <w:pPr>
        <w:pStyle w:val="Heading2"/>
        <w:pBdr>
          <w:bottom w:val="single" w:sz="4" w:space="1" w:color="2E75B6"/>
        </w:pBdr>
      </w:pPr>
      <w:r>
        <w:t>5.2  Motor Agronómico FAO-56 Penman-Monteith</w:t>
      </w:r>
    </w:p>
    <w:p>
      <w:pPr>
        <w:spacing w:after="60" w:before="0"/>
      </w:pPr>
      <w:r>
        <w:rPr>
          <w:rFonts w:ascii="Calibri" w:hAnsi="Calibri"/>
          <w:b w:val="0"/>
          <w:i w:val="0"/>
          <w:color w:val="404040"/>
          <w:sz w:val="19"/>
        </w:rPr>
        <w:t>El estándar mundial para cálculo de evapotranspiración de referencia (ETo). Seleccionado por tres razones: (1) validación internacional más amplia (Allen et al., 1998); (2) requiere solo variables disponibles en NASA POWER (T_max, T_min, RH, viento, radiación); (3) coeficientes Kc por especie y etapa fenológica permiten calcular ETc real del cultivo.</w:t>
      </w:r>
    </w:p>
    <w:p>
      <w:pPr>
        <w:spacing w:after="60"/>
        <w:shd w:val="clear" w:color="auto" w:fill="EBF3FB"/>
      </w:pPr>
      <w:r>
        <w:rPr>
          <w:rFonts w:ascii="Courier New" w:hAnsi="Courier New"/>
          <w:b/>
          <w:color w:val="1F497D"/>
          <w:sz w:val="18"/>
        </w:rPr>
        <w:t>ETo = [0.408 × Δ × (Rn − G) + γ × (900/(T+273)) × u₂ × (es − ea)] / [Δ + γ × (1 + 0.34 × u₂)]</w:t>
      </w:r>
    </w:p>
    <w:p>
      <w:pPr>
        <w:spacing w:after="60" w:before="0"/>
      </w:pPr>
      <w:r>
        <w:rPr>
          <w:rFonts w:ascii="Calibri" w:hAnsi="Calibri"/>
          <w:b w:val="0"/>
          <w:i/>
          <w:color w:val="404040"/>
          <w:sz w:val="18"/>
        </w:rPr>
        <w:t>ETc = ETo × Kc  |  Kc por etapa fenológica (FAO-56 Tabla 12). Fallback Hargreaves automático cuando radiación o humedad no disponibles.</w:t>
      </w:r>
    </w:p>
    <w:tbl>
      <w:tblPr>
        <w:tblStyle w:val="TableGrid"/>
        <w:tblW w:type="auto" w:w="0"/>
        <w:jc w:val="left"/>
        <w:tblLook w:firstColumn="1" w:firstRow="1" w:lastColumn="0" w:lastRow="0" w:noHBand="0" w:noVBand="1" w:val="04A0"/>
      </w:tblPr>
      <w:tblGrid>
        <w:gridCol w:w="3137"/>
        <w:gridCol w:w="3137"/>
        <w:gridCol w:w="3137"/>
      </w:tblGrid>
      <w:tr>
        <w:tc>
          <w:tcPr>
            <w:tcW w:type="dxa" w:w="1417"/>
            <w:shd w:val="clear" w:color="auto" w:fill="1F497D"/>
            <w:vAlign w:val="center"/>
          </w:tcPr>
          <w:p>
            <w:pPr>
              <w:spacing w:before="40" w:after="40"/>
            </w:pPr>
            <w:r>
              <w:rPr>
                <w:rFonts w:ascii="Calibri" w:hAnsi="Calibri"/>
                <w:b/>
                <w:color w:val="FFFFFF"/>
                <w:sz w:val="17"/>
              </w:rPr>
              <w:t>Variable</w:t>
            </w:r>
          </w:p>
        </w:tc>
        <w:tc>
          <w:tcPr>
            <w:tcW w:type="dxa" w:w="3118"/>
            <w:shd w:val="clear" w:color="auto" w:fill="1F497D"/>
            <w:vAlign w:val="center"/>
          </w:tcPr>
          <w:p>
            <w:pPr>
              <w:spacing w:before="40" w:after="40"/>
            </w:pPr>
            <w:r>
              <w:rPr>
                <w:rFonts w:ascii="Calibri" w:hAnsi="Calibri"/>
                <w:b/>
                <w:color w:val="FFFFFF"/>
                <w:sz w:val="17"/>
              </w:rPr>
              <w:t>Descripción</w:t>
            </w:r>
          </w:p>
        </w:tc>
        <w:tc>
          <w:tcPr>
            <w:tcW w:type="dxa" w:w="4876"/>
            <w:shd w:val="clear" w:color="auto" w:fill="1F497D"/>
            <w:vAlign w:val="center"/>
          </w:tcPr>
          <w:p>
            <w:pPr>
              <w:spacing w:before="40" w:after="40"/>
            </w:pPr>
            <w:r>
              <w:rPr>
                <w:rFonts w:ascii="Calibri" w:hAnsi="Calibri"/>
                <w:b/>
                <w:color w:val="FFFFFF"/>
                <w:sz w:val="17"/>
              </w:rPr>
              <w:t>Fuente NASA POWER</w:t>
            </w:r>
          </w:p>
        </w:tc>
      </w:tr>
      <w:tr>
        <w:tc>
          <w:tcPr>
            <w:tcW w:type="dxa" w:w="1417"/>
            <w:shd w:val="clear" w:color="auto" w:fill="FFFFFF"/>
            <w:vAlign w:val="center"/>
          </w:tcPr>
          <w:p>
            <w:pPr>
              <w:spacing w:before="40" w:after="40"/>
            </w:pPr>
            <w:r>
              <w:rPr>
                <w:rFonts w:ascii="Calibri" w:hAnsi="Calibri"/>
                <w:color w:val="404040"/>
                <w:sz w:val="17"/>
              </w:rPr>
              <w:t>T_max/T_min</w:t>
            </w:r>
          </w:p>
        </w:tc>
        <w:tc>
          <w:tcPr>
            <w:tcW w:type="dxa" w:w="3118"/>
            <w:shd w:val="clear" w:color="auto" w:fill="FFFFFF"/>
            <w:vAlign w:val="center"/>
          </w:tcPr>
          <w:p>
            <w:pPr>
              <w:spacing w:before="40" w:after="40"/>
            </w:pPr>
            <w:r>
              <w:rPr>
                <w:rFonts w:ascii="Calibri" w:hAnsi="Calibri"/>
                <w:color w:val="404040"/>
                <w:sz w:val="17"/>
              </w:rPr>
              <w:t>Temperatura máx/mín (°C)</w:t>
            </w:r>
          </w:p>
        </w:tc>
        <w:tc>
          <w:tcPr>
            <w:tcW w:type="dxa" w:w="4876"/>
            <w:shd w:val="clear" w:color="auto" w:fill="FFFFFF"/>
            <w:vAlign w:val="center"/>
          </w:tcPr>
          <w:p>
            <w:pPr>
              <w:spacing w:before="40" w:after="40"/>
            </w:pPr>
            <w:r>
              <w:rPr>
                <w:rFonts w:ascii="Calibri" w:hAnsi="Calibri"/>
                <w:color w:val="404040"/>
                <w:sz w:val="17"/>
              </w:rPr>
              <w:t>T2M_MAX, T2M_MIN</w:t>
            </w:r>
          </w:p>
        </w:tc>
      </w:tr>
      <w:tr>
        <w:tc>
          <w:tcPr>
            <w:tcW w:type="dxa" w:w="1417"/>
            <w:shd w:val="clear" w:color="auto" w:fill="DDEAF7"/>
            <w:vAlign w:val="center"/>
          </w:tcPr>
          <w:p>
            <w:pPr>
              <w:spacing w:before="40" w:after="40"/>
            </w:pPr>
            <w:r>
              <w:rPr>
                <w:rFonts w:ascii="Calibri" w:hAnsi="Calibri"/>
                <w:color w:val="404040"/>
                <w:sz w:val="17"/>
              </w:rPr>
              <w:t>RH2M</w:t>
            </w:r>
          </w:p>
        </w:tc>
        <w:tc>
          <w:tcPr>
            <w:tcW w:type="dxa" w:w="3118"/>
            <w:shd w:val="clear" w:color="auto" w:fill="DDEAF7"/>
            <w:vAlign w:val="center"/>
          </w:tcPr>
          <w:p>
            <w:pPr>
              <w:spacing w:before="40" w:after="40"/>
            </w:pPr>
            <w:r>
              <w:rPr>
                <w:rFonts w:ascii="Calibri" w:hAnsi="Calibri"/>
                <w:color w:val="404040"/>
                <w:sz w:val="17"/>
              </w:rPr>
              <w:t>Humedad relativa a 2m (%)</w:t>
            </w:r>
          </w:p>
        </w:tc>
        <w:tc>
          <w:tcPr>
            <w:tcW w:type="dxa" w:w="4876"/>
            <w:shd w:val="clear" w:color="auto" w:fill="DDEAF7"/>
            <w:vAlign w:val="center"/>
          </w:tcPr>
          <w:p>
            <w:pPr>
              <w:spacing w:before="40" w:after="40"/>
            </w:pPr>
            <w:r>
              <w:rPr>
                <w:rFonts w:ascii="Calibri" w:hAnsi="Calibri"/>
                <w:color w:val="404040"/>
                <w:sz w:val="17"/>
              </w:rPr>
              <w:t>RH2M</w:t>
            </w:r>
          </w:p>
        </w:tc>
      </w:tr>
      <w:tr>
        <w:tc>
          <w:tcPr>
            <w:tcW w:type="dxa" w:w="1417"/>
            <w:shd w:val="clear" w:color="auto" w:fill="FFFFFF"/>
            <w:vAlign w:val="center"/>
          </w:tcPr>
          <w:p>
            <w:pPr>
              <w:spacing w:before="40" w:after="40"/>
            </w:pPr>
            <w:r>
              <w:rPr>
                <w:rFonts w:ascii="Calibri" w:hAnsi="Calibri"/>
                <w:color w:val="404040"/>
                <w:sz w:val="17"/>
              </w:rPr>
              <w:t>WS2M</w:t>
            </w:r>
          </w:p>
        </w:tc>
        <w:tc>
          <w:tcPr>
            <w:tcW w:type="dxa" w:w="3118"/>
            <w:shd w:val="clear" w:color="auto" w:fill="FFFFFF"/>
            <w:vAlign w:val="center"/>
          </w:tcPr>
          <w:p>
            <w:pPr>
              <w:spacing w:before="40" w:after="40"/>
            </w:pPr>
            <w:r>
              <w:rPr>
                <w:rFonts w:ascii="Calibri" w:hAnsi="Calibri"/>
                <w:color w:val="404040"/>
                <w:sz w:val="17"/>
              </w:rPr>
              <w:t>Velocidad viento a 2m (m/s)</w:t>
            </w:r>
          </w:p>
        </w:tc>
        <w:tc>
          <w:tcPr>
            <w:tcW w:type="dxa" w:w="4876"/>
            <w:shd w:val="clear" w:color="auto" w:fill="FFFFFF"/>
            <w:vAlign w:val="center"/>
          </w:tcPr>
          <w:p>
            <w:pPr>
              <w:spacing w:before="40" w:after="40"/>
            </w:pPr>
            <w:r>
              <w:rPr>
                <w:rFonts w:ascii="Calibri" w:hAnsi="Calibri"/>
                <w:color w:val="404040"/>
                <w:sz w:val="17"/>
              </w:rPr>
              <w:t>WS2M</w:t>
            </w:r>
          </w:p>
        </w:tc>
      </w:tr>
      <w:tr>
        <w:tc>
          <w:tcPr>
            <w:tcW w:type="dxa" w:w="1417"/>
            <w:shd w:val="clear" w:color="auto" w:fill="DDEAF7"/>
            <w:vAlign w:val="center"/>
          </w:tcPr>
          <w:p>
            <w:pPr>
              <w:spacing w:before="40" w:after="40"/>
            </w:pPr>
            <w:r>
              <w:rPr>
                <w:rFonts w:ascii="Calibri" w:hAnsi="Calibri"/>
                <w:color w:val="404040"/>
                <w:sz w:val="17"/>
              </w:rPr>
              <w:t>Rn</w:t>
            </w:r>
          </w:p>
        </w:tc>
        <w:tc>
          <w:tcPr>
            <w:tcW w:type="dxa" w:w="3118"/>
            <w:shd w:val="clear" w:color="auto" w:fill="DDEAF7"/>
            <w:vAlign w:val="center"/>
          </w:tcPr>
          <w:p>
            <w:pPr>
              <w:spacing w:before="40" w:after="40"/>
            </w:pPr>
            <w:r>
              <w:rPr>
                <w:rFonts w:ascii="Calibri" w:hAnsi="Calibri"/>
                <w:color w:val="404040"/>
                <w:sz w:val="17"/>
              </w:rPr>
              <w:t>Radiación solar incidente (MJ/m²/día)</w:t>
            </w:r>
          </w:p>
        </w:tc>
        <w:tc>
          <w:tcPr>
            <w:tcW w:type="dxa" w:w="4876"/>
            <w:shd w:val="clear" w:color="auto" w:fill="DDEAF7"/>
            <w:vAlign w:val="center"/>
          </w:tcPr>
          <w:p>
            <w:pPr>
              <w:spacing w:before="40" w:after="40"/>
            </w:pPr>
            <w:r>
              <w:rPr>
                <w:rFonts w:ascii="Calibri" w:hAnsi="Calibri"/>
                <w:color w:val="404040"/>
                <w:sz w:val="17"/>
              </w:rPr>
              <w:t>ALLSKY_SFC_SW_DWN</w:t>
            </w:r>
          </w:p>
        </w:tc>
      </w:tr>
      <w:tr>
        <w:tc>
          <w:tcPr>
            <w:tcW w:type="dxa" w:w="1417"/>
            <w:shd w:val="clear" w:color="auto" w:fill="FFFFFF"/>
            <w:vAlign w:val="center"/>
          </w:tcPr>
          <w:p>
            <w:pPr>
              <w:spacing w:before="40" w:after="40"/>
            </w:pPr>
            <w:r>
              <w:rPr>
                <w:rFonts w:ascii="Calibri" w:hAnsi="Calibri"/>
                <w:color w:val="404040"/>
                <w:sz w:val="17"/>
              </w:rPr>
              <w:t>PREC</w:t>
            </w:r>
          </w:p>
        </w:tc>
        <w:tc>
          <w:tcPr>
            <w:tcW w:type="dxa" w:w="3118"/>
            <w:shd w:val="clear" w:color="auto" w:fill="FFFFFF"/>
            <w:vAlign w:val="center"/>
          </w:tcPr>
          <w:p>
            <w:pPr>
              <w:spacing w:before="40" w:after="40"/>
            </w:pPr>
            <w:r>
              <w:rPr>
                <w:rFonts w:ascii="Calibri" w:hAnsi="Calibri"/>
                <w:color w:val="404040"/>
                <w:sz w:val="17"/>
              </w:rPr>
              <w:t>Precipitación (mm/día)</w:t>
            </w:r>
          </w:p>
        </w:tc>
        <w:tc>
          <w:tcPr>
            <w:tcW w:type="dxa" w:w="4876"/>
            <w:shd w:val="clear" w:color="auto" w:fill="FFFFFF"/>
            <w:vAlign w:val="center"/>
          </w:tcPr>
          <w:p>
            <w:pPr>
              <w:spacing w:before="40" w:after="40"/>
            </w:pPr>
            <w:r>
              <w:rPr>
                <w:rFonts w:ascii="Calibri" w:hAnsi="Calibri"/>
                <w:color w:val="404040"/>
                <w:sz w:val="17"/>
              </w:rPr>
              <w:t>PRECTOTCORR</w:t>
            </w:r>
          </w:p>
        </w:tc>
      </w:tr>
    </w:tbl>
    <w:p>
      <w:pPr>
        <w:spacing w:after="60"/>
      </w:pPr>
    </w:p>
    <w:p>
      <w:pPr>
        <w:pStyle w:val="Heading1"/>
        <w:shd w:val="clear" w:color="auto" w:fill="1F497D"/>
      </w:pPr>
      <w:r>
        <w:rPr>
          <w:b/>
          <w:color w:val="FFFFFF"/>
        </w:rPr>
        <w:t>VI.  Arquitectura del Sistema</w:t>
      </w:r>
    </w:p>
    <w:p>
      <w:pPr>
        <w:pStyle w:val="Heading2"/>
        <w:pBdr>
          <w:bottom w:val="single" w:sz="4" w:space="1" w:color="2E75B6"/>
        </w:pBdr>
      </w:pPr>
      <w:r>
        <w:t>6.1  Tres Capas con Separación Explícita de Responsabilidades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247"/>
            <w:shd w:val="clear" w:color="auto" w:fill="1F497D"/>
            <w:vAlign w:val="center"/>
          </w:tcPr>
          <w:p>
            <w:pPr>
              <w:spacing w:before="40" w:after="40"/>
            </w:pPr>
            <w:r>
              <w:rPr>
                <w:rFonts w:ascii="Calibri" w:hAnsi="Calibri"/>
                <w:b/>
                <w:color w:val="FFFFFF"/>
                <w:sz w:val="17"/>
              </w:rPr>
              <w:t>Capa</w:t>
            </w:r>
          </w:p>
        </w:tc>
        <w:tc>
          <w:tcPr>
            <w:tcW w:type="dxa" w:w="1871"/>
            <w:shd w:val="clear" w:color="auto" w:fill="1F497D"/>
            <w:vAlign w:val="center"/>
          </w:tcPr>
          <w:p>
            <w:pPr>
              <w:spacing w:before="40" w:after="40"/>
            </w:pPr>
            <w:r>
              <w:rPr>
                <w:rFonts w:ascii="Calibri" w:hAnsi="Calibri"/>
                <w:b/>
                <w:color w:val="FFFFFF"/>
                <w:sz w:val="17"/>
              </w:rPr>
              <w:t>Tecnología</w:t>
            </w:r>
          </w:p>
        </w:tc>
        <w:tc>
          <w:tcPr>
            <w:tcW w:type="dxa" w:w="2551"/>
            <w:shd w:val="clear" w:color="auto" w:fill="1F497D"/>
            <w:vAlign w:val="center"/>
          </w:tcPr>
          <w:p>
            <w:pPr>
              <w:spacing w:before="40" w:after="40"/>
            </w:pPr>
            <w:r>
              <w:rPr>
                <w:rFonts w:ascii="Calibri" w:hAnsi="Calibri"/>
                <w:b/>
                <w:color w:val="FFFFFF"/>
                <w:sz w:val="17"/>
              </w:rPr>
              <w:t>Responsabilidad</w:t>
            </w:r>
          </w:p>
        </w:tc>
        <w:tc>
          <w:tcPr>
            <w:tcW w:type="dxa" w:w="3742"/>
            <w:shd w:val="clear" w:color="auto" w:fill="1F497D"/>
            <w:vAlign w:val="center"/>
          </w:tcPr>
          <w:p>
            <w:pPr>
              <w:spacing w:before="40" w:after="40"/>
            </w:pPr>
            <w:r>
              <w:rPr>
                <w:rFonts w:ascii="Calibri" w:hAnsi="Calibri"/>
                <w:b/>
                <w:color w:val="FFFFFF"/>
                <w:sz w:val="17"/>
              </w:rPr>
              <w:t>Archivo principal</w:t>
            </w:r>
          </w:p>
        </w:tc>
      </w:tr>
      <w:tr>
        <w:tc>
          <w:tcPr>
            <w:tcW w:type="dxa" w:w="1247"/>
            <w:shd w:val="clear" w:color="auto" w:fill="FFFFFF"/>
            <w:vAlign w:val="center"/>
          </w:tcPr>
          <w:p>
            <w:pPr>
              <w:spacing w:before="40" w:after="40"/>
            </w:pPr>
            <w:r>
              <w:rPr>
                <w:rFonts w:ascii="Calibri" w:hAnsi="Calibri"/>
                <w:color w:val="404040"/>
                <w:sz w:val="17"/>
              </w:rPr>
              <w:t>Frontend</w:t>
            </w:r>
          </w:p>
        </w:tc>
        <w:tc>
          <w:tcPr>
            <w:tcW w:type="dxa" w:w="1871"/>
            <w:shd w:val="clear" w:color="auto" w:fill="FFFFFF"/>
            <w:vAlign w:val="center"/>
          </w:tcPr>
          <w:p>
            <w:pPr>
              <w:spacing w:before="40" w:after="40"/>
            </w:pPr>
            <w:r>
              <w:rPr>
                <w:rFonts w:ascii="Calibri" w:hAnsi="Calibri"/>
                <w:color w:val="404040"/>
                <w:sz w:val="17"/>
              </w:rPr>
              <w:t>HTML5 + Vanilla JS + Leaflet 1.9.4</w:t>
            </w:r>
          </w:p>
        </w:tc>
        <w:tc>
          <w:tcPr>
            <w:tcW w:type="dxa" w:w="2551"/>
            <w:shd w:val="clear" w:color="auto" w:fill="FFFFFF"/>
            <w:vAlign w:val="center"/>
          </w:tcPr>
          <w:p>
            <w:pPr>
              <w:spacing w:before="40" w:after="40"/>
            </w:pPr>
            <w:r>
              <w:rPr>
                <w:rFonts w:ascii="Calibri" w:hAnsi="Calibri"/>
                <w:color w:val="404040"/>
                <w:sz w:val="17"/>
              </w:rPr>
              <w:t>SPA sin bundler, GIS, voz TTS</w:t>
            </w:r>
          </w:p>
        </w:tc>
        <w:tc>
          <w:tcPr>
            <w:tcW w:type="dxa" w:w="3742"/>
            <w:shd w:val="clear" w:color="auto" w:fill="FFFFFF"/>
            <w:vAlign w:val="center"/>
          </w:tcPr>
          <w:p>
            <w:pPr>
              <w:spacing w:before="40" w:after="40"/>
            </w:pPr>
            <w:r>
              <w:rPr>
                <w:rFonts w:ascii="Calibri" w:hAnsi="Calibri"/>
                <w:color w:val="404040"/>
                <w:sz w:val="17"/>
              </w:rPr>
              <w:t>frontend/src/map_engine.js</w:t>
            </w:r>
          </w:p>
        </w:tc>
      </w:tr>
      <w:tr>
        <w:tc>
          <w:tcPr>
            <w:tcW w:type="dxa" w:w="1247"/>
            <w:shd w:val="clear" w:color="auto" w:fill="DDEAF7"/>
            <w:vAlign w:val="center"/>
          </w:tcPr>
          <w:p>
            <w:pPr>
              <w:spacing w:before="40" w:after="40"/>
            </w:pPr>
            <w:r>
              <w:rPr>
                <w:rFonts w:ascii="Calibri" w:hAnsi="Calibri"/>
                <w:color w:val="404040"/>
                <w:sz w:val="17"/>
              </w:rPr>
              <w:t>Backend API</w:t>
            </w:r>
          </w:p>
        </w:tc>
        <w:tc>
          <w:tcPr>
            <w:tcW w:type="dxa" w:w="1871"/>
            <w:shd w:val="clear" w:color="auto" w:fill="DDEAF7"/>
            <w:vAlign w:val="center"/>
          </w:tcPr>
          <w:p>
            <w:pPr>
              <w:spacing w:before="40" w:after="40"/>
            </w:pPr>
            <w:r>
              <w:rPr>
                <w:rFonts w:ascii="Calibri" w:hAnsi="Calibri"/>
                <w:color w:val="404040"/>
                <w:sz w:val="17"/>
              </w:rPr>
              <w:t>FastAPI 0.115 + Pydantic v2 + Uvicorn</w:t>
            </w:r>
          </w:p>
        </w:tc>
        <w:tc>
          <w:tcPr>
            <w:tcW w:type="dxa" w:w="2551"/>
            <w:shd w:val="clear" w:color="auto" w:fill="DDEAF7"/>
            <w:vAlign w:val="center"/>
          </w:tcPr>
          <w:p>
            <w:pPr>
              <w:spacing w:before="40" w:after="40"/>
            </w:pPr>
            <w:r>
              <w:rPr>
                <w:rFonts w:ascii="Calibri" w:hAnsi="Calibri"/>
                <w:color w:val="404040"/>
                <w:sz w:val="17"/>
              </w:rPr>
              <w:t>REST endpoints, validación, orquestación</w:t>
            </w:r>
          </w:p>
        </w:tc>
        <w:tc>
          <w:tcPr>
            <w:tcW w:type="dxa" w:w="3742"/>
            <w:shd w:val="clear" w:color="auto" w:fill="DDEAF7"/>
            <w:vAlign w:val="center"/>
          </w:tcPr>
          <w:p>
            <w:pPr>
              <w:spacing w:before="40" w:after="40"/>
            </w:pPr>
            <w:r>
              <w:rPr>
                <w:rFonts w:ascii="Calibri" w:hAnsi="Calibri"/>
                <w:color w:val="404040"/>
                <w:sz w:val="17"/>
              </w:rPr>
              <w:t>backend/main.py</w:t>
            </w:r>
          </w:p>
        </w:tc>
      </w:tr>
      <w:tr>
        <w:tc>
          <w:tcPr>
            <w:tcW w:type="dxa" w:w="1247"/>
            <w:shd w:val="clear" w:color="auto" w:fill="FFFFFF"/>
            <w:vAlign w:val="center"/>
          </w:tcPr>
          <w:p>
            <w:pPr>
              <w:spacing w:before="40" w:after="40"/>
            </w:pPr>
            <w:r>
              <w:rPr>
                <w:rFonts w:ascii="Calibri" w:hAnsi="Calibri"/>
                <w:color w:val="404040"/>
                <w:sz w:val="17"/>
              </w:rPr>
              <w:t>Motor Agro</w:t>
            </w:r>
          </w:p>
        </w:tc>
        <w:tc>
          <w:tcPr>
            <w:tcW w:type="dxa" w:w="1871"/>
            <w:shd w:val="clear" w:color="auto" w:fill="FFFFFF"/>
            <w:vAlign w:val="center"/>
          </w:tcPr>
          <w:p>
            <w:pPr>
              <w:spacing w:before="40" w:after="40"/>
            </w:pPr>
            <w:r>
              <w:rPr>
                <w:rFonts w:ascii="Calibri" w:hAnsi="Calibri"/>
                <w:color w:val="404040"/>
                <w:sz w:val="17"/>
              </w:rPr>
              <w:t>Python — FAO-56 propio</w:t>
            </w:r>
          </w:p>
        </w:tc>
        <w:tc>
          <w:tcPr>
            <w:tcW w:type="dxa" w:w="2551"/>
            <w:shd w:val="clear" w:color="auto" w:fill="FFFFFF"/>
            <w:vAlign w:val="center"/>
          </w:tcPr>
          <w:p>
            <w:pPr>
              <w:spacing w:before="40" w:after="40"/>
            </w:pPr>
            <w:r>
              <w:rPr>
                <w:rFonts w:ascii="Calibri" w:hAnsi="Calibri"/>
                <w:color w:val="404040"/>
                <w:sz w:val="17"/>
              </w:rPr>
              <w:t>ETo, ETc, balance hídrico, Hargreaves</w:t>
            </w:r>
          </w:p>
        </w:tc>
        <w:tc>
          <w:tcPr>
            <w:tcW w:type="dxa" w:w="3742"/>
            <w:shd w:val="clear" w:color="auto" w:fill="FFFFFF"/>
            <w:vAlign w:val="center"/>
          </w:tcPr>
          <w:p>
            <w:pPr>
              <w:spacing w:before="40" w:after="40"/>
            </w:pPr>
            <w:r>
              <w:rPr>
                <w:rFonts w:ascii="Calibri" w:hAnsi="Calibri"/>
                <w:color w:val="404040"/>
                <w:sz w:val="17"/>
              </w:rPr>
              <w:t>backend/core/balance_hidrico.py</w:t>
            </w:r>
          </w:p>
        </w:tc>
      </w:tr>
      <w:tr>
        <w:tc>
          <w:tcPr>
            <w:tcW w:type="dxa" w:w="1247"/>
            <w:shd w:val="clear" w:color="auto" w:fill="DDEAF7"/>
            <w:vAlign w:val="center"/>
          </w:tcPr>
          <w:p>
            <w:pPr>
              <w:spacing w:before="40" w:after="40"/>
            </w:pPr>
            <w:r>
              <w:rPr>
                <w:rFonts w:ascii="Calibri" w:hAnsi="Calibri"/>
                <w:color w:val="404040"/>
                <w:sz w:val="17"/>
              </w:rPr>
              <w:t>ML/Inference</w:t>
            </w:r>
          </w:p>
        </w:tc>
        <w:tc>
          <w:tcPr>
            <w:tcW w:type="dxa" w:w="1871"/>
            <w:shd w:val="clear" w:color="auto" w:fill="DDEAF7"/>
            <w:vAlign w:val="center"/>
          </w:tcPr>
          <w:p>
            <w:pPr>
              <w:spacing w:before="40" w:after="40"/>
            </w:pPr>
            <w:r>
              <w:rPr>
                <w:rFonts w:ascii="Calibri" w:hAnsi="Calibri"/>
                <w:color w:val="404040"/>
                <w:sz w:val="17"/>
              </w:rPr>
              <w:t>scikit-learn 1.5 + XGBoost</w:t>
            </w:r>
          </w:p>
        </w:tc>
        <w:tc>
          <w:tcPr>
            <w:tcW w:type="dxa" w:w="2551"/>
            <w:shd w:val="clear" w:color="auto" w:fill="DDEAF7"/>
            <w:vAlign w:val="center"/>
          </w:tcPr>
          <w:p>
            <w:pPr>
              <w:spacing w:before="40" w:after="40"/>
            </w:pPr>
            <w:r>
              <w:rPr>
                <w:rFonts w:ascii="Calibri" w:hAnsi="Calibri"/>
                <w:color w:val="404040"/>
                <w:sz w:val="17"/>
              </w:rPr>
              <w:t>K-Means, Ridge, XGBoost, IForest</w:t>
            </w:r>
          </w:p>
        </w:tc>
        <w:tc>
          <w:tcPr>
            <w:tcW w:type="dxa" w:w="3742"/>
            <w:shd w:val="clear" w:color="auto" w:fill="DDEAF7"/>
            <w:vAlign w:val="center"/>
          </w:tcPr>
          <w:p>
            <w:pPr>
              <w:spacing w:before="40" w:after="40"/>
            </w:pPr>
            <w:r>
              <w:rPr>
                <w:rFonts w:ascii="Calibri" w:hAnsi="Calibri"/>
                <w:color w:val="404040"/>
                <w:sz w:val="17"/>
              </w:rPr>
              <w:t>ml/inference/</w:t>
            </w:r>
          </w:p>
        </w:tc>
      </w:tr>
      <w:tr>
        <w:tc>
          <w:tcPr>
            <w:tcW w:type="dxa" w:w="1247"/>
            <w:shd w:val="clear" w:color="auto" w:fill="FFFFFF"/>
            <w:vAlign w:val="center"/>
          </w:tcPr>
          <w:p>
            <w:pPr>
              <w:spacing w:before="40" w:after="40"/>
            </w:pPr>
            <w:r>
              <w:rPr>
                <w:rFonts w:ascii="Calibri" w:hAnsi="Calibri"/>
                <w:color w:val="404040"/>
                <w:sz w:val="17"/>
              </w:rPr>
              <w:t>ORM</w:t>
            </w:r>
          </w:p>
        </w:tc>
        <w:tc>
          <w:tcPr>
            <w:tcW w:type="dxa" w:w="1871"/>
            <w:shd w:val="clear" w:color="auto" w:fill="FFFFFF"/>
            <w:vAlign w:val="center"/>
          </w:tcPr>
          <w:p>
            <w:pPr>
              <w:spacing w:before="40" w:after="40"/>
            </w:pPr>
            <w:r>
              <w:rPr>
                <w:rFonts w:ascii="Calibri" w:hAnsi="Calibri"/>
                <w:color w:val="404040"/>
                <w:sz w:val="17"/>
              </w:rPr>
              <w:t>SQLAlchemy 2.0 async + asyncpg</w:t>
            </w:r>
          </w:p>
        </w:tc>
        <w:tc>
          <w:tcPr>
            <w:tcW w:type="dxa" w:w="2551"/>
            <w:shd w:val="clear" w:color="auto" w:fill="FFFFFF"/>
            <w:vAlign w:val="center"/>
          </w:tcPr>
          <w:p>
            <w:pPr>
              <w:spacing w:before="40" w:after="40"/>
            </w:pPr>
            <w:r>
              <w:rPr>
                <w:rFonts w:ascii="Calibri" w:hAnsi="Calibri"/>
                <w:color w:val="404040"/>
                <w:sz w:val="17"/>
              </w:rPr>
              <w:t>7 modelos ORM, AsyncSession, Alembic</w:t>
            </w:r>
          </w:p>
        </w:tc>
        <w:tc>
          <w:tcPr>
            <w:tcW w:type="dxa" w:w="3742"/>
            <w:shd w:val="clear" w:color="auto" w:fill="FFFFFF"/>
            <w:vAlign w:val="center"/>
          </w:tcPr>
          <w:p>
            <w:pPr>
              <w:spacing w:before="40" w:after="40"/>
            </w:pPr>
            <w:r>
              <w:rPr>
                <w:rFonts w:ascii="Calibri" w:hAnsi="Calibri"/>
                <w:color w:val="404040"/>
                <w:sz w:val="17"/>
              </w:rPr>
              <w:t>backend/models.py</w:t>
            </w:r>
          </w:p>
        </w:tc>
      </w:tr>
      <w:tr>
        <w:tc>
          <w:tcPr>
            <w:tcW w:type="dxa" w:w="1247"/>
            <w:shd w:val="clear" w:color="auto" w:fill="DDEAF7"/>
            <w:vAlign w:val="center"/>
          </w:tcPr>
          <w:p>
            <w:pPr>
              <w:spacing w:before="40" w:after="40"/>
            </w:pPr>
            <w:r>
              <w:rPr>
                <w:rFonts w:ascii="Calibri" w:hAnsi="Calibri"/>
                <w:color w:val="404040"/>
                <w:sz w:val="17"/>
              </w:rPr>
              <w:t>Base de Datos</w:t>
            </w:r>
          </w:p>
        </w:tc>
        <w:tc>
          <w:tcPr>
            <w:tcW w:type="dxa" w:w="1871"/>
            <w:shd w:val="clear" w:color="auto" w:fill="DDEAF7"/>
            <w:vAlign w:val="center"/>
          </w:tcPr>
          <w:p>
            <w:pPr>
              <w:spacing w:before="40" w:after="40"/>
            </w:pPr>
            <w:r>
              <w:rPr>
                <w:rFonts w:ascii="Calibri" w:hAnsi="Calibri"/>
                <w:color w:val="404040"/>
                <w:sz w:val="17"/>
              </w:rPr>
              <w:t>PostgreSQL 15 + PostGIS 3.6</w:t>
            </w:r>
          </w:p>
        </w:tc>
        <w:tc>
          <w:tcPr>
            <w:tcW w:type="dxa" w:w="2551"/>
            <w:shd w:val="clear" w:color="auto" w:fill="DDEAF7"/>
            <w:vAlign w:val="center"/>
          </w:tcPr>
          <w:p>
            <w:pPr>
              <w:spacing w:before="40" w:after="40"/>
            </w:pPr>
            <w:r>
              <w:rPr>
                <w:rFonts w:ascii="Calibri" w:hAnsi="Calibri"/>
                <w:color w:val="404040"/>
                <w:sz w:val="17"/>
              </w:rPr>
              <w:t>Relacionales + geometrías espaciales</w:t>
            </w:r>
          </w:p>
        </w:tc>
        <w:tc>
          <w:tcPr>
            <w:tcW w:type="dxa" w:w="3742"/>
            <w:shd w:val="clear" w:color="auto" w:fill="DDEAF7"/>
            <w:vAlign w:val="center"/>
          </w:tcPr>
          <w:p>
            <w:pPr>
              <w:spacing w:before="40" w:after="40"/>
            </w:pPr>
            <w:r>
              <w:rPr>
                <w:rFonts w:ascii="Calibri" w:hAnsi="Calibri"/>
                <w:color w:val="404040"/>
                <w:sz w:val="17"/>
              </w:rPr>
              <w:t>backend/schema.sql</w:t>
            </w:r>
          </w:p>
        </w:tc>
      </w:tr>
      <w:tr>
        <w:tc>
          <w:tcPr>
            <w:tcW w:type="dxa" w:w="1247"/>
            <w:shd w:val="clear" w:color="auto" w:fill="FFFFFF"/>
            <w:vAlign w:val="center"/>
          </w:tcPr>
          <w:p>
            <w:pPr>
              <w:spacing w:before="40" w:after="40"/>
            </w:pPr>
            <w:r>
              <w:rPr>
                <w:rFonts w:ascii="Calibri" w:hAnsi="Calibri"/>
                <w:color w:val="404040"/>
                <w:sz w:val="17"/>
              </w:rPr>
              <w:t>ETL</w:t>
            </w:r>
          </w:p>
        </w:tc>
        <w:tc>
          <w:tcPr>
            <w:tcW w:type="dxa" w:w="1871"/>
            <w:shd w:val="clear" w:color="auto" w:fill="FFFFFF"/>
            <w:vAlign w:val="center"/>
          </w:tcPr>
          <w:p>
            <w:pPr>
              <w:spacing w:before="40" w:after="40"/>
            </w:pPr>
            <w:r>
              <w:rPr>
                <w:rFonts w:ascii="Calibri" w:hAnsi="Calibri"/>
                <w:color w:val="404040"/>
                <w:sz w:val="17"/>
              </w:rPr>
              <w:t>nasa_power_etl.py + geopandas</w:t>
            </w:r>
          </w:p>
        </w:tc>
        <w:tc>
          <w:tcPr>
            <w:tcW w:type="dxa" w:w="2551"/>
            <w:shd w:val="clear" w:color="auto" w:fill="FFFFFF"/>
            <w:vAlign w:val="center"/>
          </w:tcPr>
          <w:p>
            <w:pPr>
              <w:spacing w:before="40" w:after="40"/>
            </w:pPr>
            <w:r>
              <w:rPr>
                <w:rFonts w:ascii="Calibri" w:hAnsi="Calibri"/>
                <w:color w:val="404040"/>
                <w:sz w:val="17"/>
              </w:rPr>
              <w:t>Ingesta NASA POWER + make_valid</w:t>
            </w:r>
          </w:p>
        </w:tc>
        <w:tc>
          <w:tcPr>
            <w:tcW w:type="dxa" w:w="3742"/>
            <w:shd w:val="clear" w:color="auto" w:fill="FFFFFF"/>
            <w:vAlign w:val="center"/>
          </w:tcPr>
          <w:p>
            <w:pPr>
              <w:spacing w:before="40" w:after="40"/>
            </w:pPr>
            <w:r>
              <w:rPr>
                <w:rFonts w:ascii="Calibri" w:hAnsi="Calibri"/>
                <w:color w:val="404040"/>
                <w:sz w:val="17"/>
              </w:rPr>
              <w:t>tools/nasa_power_etl.py</w:t>
            </w:r>
          </w:p>
        </w:tc>
      </w:tr>
      <w:tr>
        <w:tc>
          <w:tcPr>
            <w:tcW w:type="dxa" w:w="1247"/>
            <w:shd w:val="clear" w:color="auto" w:fill="DDEAF7"/>
            <w:vAlign w:val="center"/>
          </w:tcPr>
          <w:p>
            <w:pPr>
              <w:spacing w:before="40" w:after="40"/>
            </w:pPr>
            <w:r>
              <w:rPr>
                <w:rFonts w:ascii="Calibri" w:hAnsi="Calibri"/>
                <w:color w:val="404040"/>
                <w:sz w:val="17"/>
              </w:rPr>
              <w:t>Voz</w:t>
            </w:r>
          </w:p>
        </w:tc>
        <w:tc>
          <w:tcPr>
            <w:tcW w:type="dxa" w:w="1871"/>
            <w:shd w:val="clear" w:color="auto" w:fill="DDEAF7"/>
            <w:vAlign w:val="center"/>
          </w:tcPr>
          <w:p>
            <w:pPr>
              <w:spacing w:before="40" w:after="40"/>
            </w:pPr>
            <w:r>
              <w:rPr>
                <w:rFonts w:ascii="Calibri" w:hAnsi="Calibri"/>
                <w:color w:val="404040"/>
                <w:sz w:val="17"/>
              </w:rPr>
              <w:t>Whisper + Ollama llama3.2 + Web Speech</w:t>
            </w:r>
          </w:p>
        </w:tc>
        <w:tc>
          <w:tcPr>
            <w:tcW w:type="dxa" w:w="2551"/>
            <w:shd w:val="clear" w:color="auto" w:fill="DDEAF7"/>
            <w:vAlign w:val="center"/>
          </w:tcPr>
          <w:p>
            <w:pPr>
              <w:spacing w:before="40" w:after="40"/>
            </w:pPr>
            <w:r>
              <w:rPr>
                <w:rFonts w:ascii="Calibri" w:hAnsi="Calibri"/>
                <w:color w:val="404040"/>
                <w:sz w:val="17"/>
              </w:rPr>
              <w:t>Audio→texto→intención→acción→voz</w:t>
            </w:r>
          </w:p>
        </w:tc>
        <w:tc>
          <w:tcPr>
            <w:tcW w:type="dxa" w:w="3742"/>
            <w:shd w:val="clear" w:color="auto" w:fill="DDEAF7"/>
            <w:vAlign w:val="center"/>
          </w:tcPr>
          <w:p>
            <w:pPr>
              <w:spacing w:before="40" w:after="40"/>
            </w:pPr>
            <w:r>
              <w:rPr>
                <w:rFonts w:ascii="Calibri" w:hAnsi="Calibri"/>
                <w:color w:val="404040"/>
                <w:sz w:val="17"/>
              </w:rPr>
              <w:t>backend/API/voice_endpoint.py</w:t>
            </w:r>
          </w:p>
        </w:tc>
      </w:tr>
    </w:tbl>
    <w:p>
      <w:pPr>
        <w:spacing w:after="60"/>
      </w:pP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6.1 — Diagrama de arquitectura cliente-servidor de tres capas ]</w:t>
      </w:r>
    </w:p>
    <w:p>
      <w:pPr>
        <w:spacing w:after="80"/>
        <w:jc w:val="center"/>
      </w:pPr>
      <w:r>
        <w:rPr>
          <w:i/>
          <w:color w:val="606060"/>
          <w:sz w:val="16"/>
        </w:rPr>
        <w:t>Frontend SPA → REST API (FastAPI) → Capa datos (PostgreSQL+PostGIS). ETL lateral desde NASA POWER. Whisper+Ollama como módulo de voz independiente. Leaflet consume GeoJSON desde endpoint PostGIS.</w:t>
      </w:r>
    </w:p>
    <w:p>
      <w:pPr>
        <w:pStyle w:val="Heading2"/>
        <w:pBdr>
          <w:bottom w:val="single" w:sz="4" w:space="1" w:color="2E75B6"/>
        </w:pBdr>
      </w:pPr>
      <w:r>
        <w:t>6.2  Flujos Clave</w:t>
      </w: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6.2 — Flujo de recomendación de riego: GET /balance → FAO-56 → INSERT recomendaciones → GeoJSON → Leaflet ]</w:t>
      </w:r>
    </w:p>
    <w:p>
      <w:pPr>
        <w:spacing w:after="80"/>
        <w:jc w:val="center"/>
      </w:pPr>
      <w:r>
        <w:rPr>
          <w:i/>
          <w:color w:val="606060"/>
          <w:sz w:val="16"/>
        </w:rPr>
        <w:t>Secuencia: Cliente solicita balance parcela → FastAPI valida → SQLAlchemy fetch clima+cultivo → propagar_balance_hidrico() → calcular_eto() → INSERT recomendaciones (con parametros_json) → respuesta JSON</w:t>
      </w: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6.3 — Pipeline de voz: Micrófono → Whisper STT → Ollama NLU → dispatcher → Web Speech TTS ]</w:t>
      </w:r>
    </w:p>
    <w:p>
      <w:pPr>
        <w:spacing w:after="80"/>
        <w:jc w:val="center"/>
      </w:pPr>
      <w:r>
        <w:rPr>
          <w:i/>
          <w:color w:val="606060"/>
          <w:sz w:val="16"/>
        </w:rPr>
        <w:t>Audio → transcripción texto → JSON de intención {acción, parcela_id, parámetros} → llamada API correspondiente → respuesta en lenguaje natural → síntesis de voz en español</w:t>
      </w:r>
    </w:p>
    <w:p>
      <w:pPr>
        <w:pStyle w:val="Heading2"/>
        <w:pBdr>
          <w:bottom w:val="single" w:sz="4" w:space="1" w:color="2E75B6"/>
        </w:pBdr>
      </w:pPr>
      <w:r>
        <w:t>6.3  Regla de Imports entre Capas</w:t>
      </w:r>
    </w:p>
    <w:p>
      <w:pPr>
        <w:spacing w:after="60"/>
        <w:shd w:val="clear" w:color="auto" w:fill="EBF3FB"/>
      </w:pPr>
      <w:r>
        <w:rPr>
          <w:rFonts w:ascii="Courier New" w:hAnsi="Courier New"/>
          <w:color w:val="1F497D"/>
          <w:sz w:val="17"/>
        </w:rPr>
        <w:t>frontend → backend/API → backend/core (agro)  → ml/inference (read-only)</w:t>
        <w:br/>
        <w:t>ml/training → data/ → ml/configs/   [ml/training NO importa backend/]</w:t>
      </w:r>
    </w:p>
    <w:p>
      <w:pPr>
        <w:pStyle w:val="Heading1"/>
        <w:shd w:val="clear" w:color="auto" w:fill="1F497D"/>
      </w:pPr>
      <w:r>
        <w:rPr>
          <w:b/>
          <w:color w:val="FFFFFF"/>
        </w:rPr>
        <w:t>VII.  Base de Datos — PostgreSQL 15 + PostGIS 3.6</w:t>
      </w:r>
    </w:p>
    <w:p>
      <w:pPr>
        <w:pStyle w:val="Heading2"/>
        <w:pBdr>
          <w:bottom w:val="single" w:sz="4" w:space="1" w:color="2E75B6"/>
        </w:pBdr>
      </w:pPr>
      <w:r>
        <w:t>7.1  Esquema Relacional (7 tablas + 2 vistas KPI)</w:t>
      </w:r>
    </w:p>
    <w:tbl>
      <w:tblPr>
        <w:tblStyle w:val="TableGrid"/>
        <w:tblW w:type="auto" w:w="0"/>
        <w:jc w:val="left"/>
        <w:tblLook w:firstColumn="1" w:firstRow="1" w:lastColumn="0" w:lastRow="0" w:noHBand="0" w:noVBand="1" w:val="04A0"/>
      </w:tblPr>
      <w:tblGrid>
        <w:gridCol w:w="3137"/>
        <w:gridCol w:w="3137"/>
        <w:gridCol w:w="3137"/>
      </w:tblGrid>
      <w:tr>
        <w:tc>
          <w:tcPr>
            <w:tcW w:type="dxa" w:w="1701"/>
            <w:shd w:val="clear" w:color="auto" w:fill="1F497D"/>
            <w:vAlign w:val="center"/>
          </w:tcPr>
          <w:p>
            <w:pPr>
              <w:spacing w:before="40" w:after="40"/>
            </w:pPr>
            <w:r>
              <w:rPr>
                <w:rFonts w:ascii="Calibri" w:hAnsi="Calibri"/>
                <w:b/>
                <w:color w:val="FFFFFF"/>
                <w:sz w:val="17"/>
              </w:rPr>
              <w:t>Tabla / Vista</w:t>
            </w:r>
          </w:p>
        </w:tc>
        <w:tc>
          <w:tcPr>
            <w:tcW w:type="dxa" w:w="3685"/>
            <w:shd w:val="clear" w:color="auto" w:fill="1F497D"/>
            <w:vAlign w:val="center"/>
          </w:tcPr>
          <w:p>
            <w:pPr>
              <w:spacing w:before="40" w:after="40"/>
            </w:pPr>
            <w:r>
              <w:rPr>
                <w:rFonts w:ascii="Calibri" w:hAnsi="Calibri"/>
                <w:b/>
                <w:color w:val="FFFFFF"/>
                <w:sz w:val="17"/>
              </w:rPr>
              <w:t>Columnas Clave</w:t>
            </w:r>
          </w:p>
        </w:tc>
        <w:tc>
          <w:tcPr>
            <w:tcW w:type="dxa" w:w="4025"/>
            <w:shd w:val="clear" w:color="auto" w:fill="1F497D"/>
            <w:vAlign w:val="center"/>
          </w:tcPr>
          <w:p>
            <w:pPr>
              <w:spacing w:before="40" w:after="40"/>
            </w:pPr>
            <w:r>
              <w:rPr>
                <w:rFonts w:ascii="Calibri" w:hAnsi="Calibri"/>
                <w:b/>
                <w:color w:val="FFFFFF"/>
                <w:sz w:val="17"/>
              </w:rPr>
              <w:t>Rol</w:t>
            </w:r>
          </w:p>
        </w:tc>
      </w:tr>
      <w:tr>
        <w:tc>
          <w:tcPr>
            <w:tcW w:type="dxa" w:w="1701"/>
            <w:shd w:val="clear" w:color="auto" w:fill="FFFFFF"/>
            <w:vAlign w:val="center"/>
          </w:tcPr>
          <w:p>
            <w:pPr>
              <w:spacing w:before="40" w:after="40"/>
            </w:pPr>
            <w:r>
              <w:rPr>
                <w:rFonts w:ascii="Calibri" w:hAnsi="Calibri"/>
                <w:color w:val="404040"/>
                <w:sz w:val="17"/>
              </w:rPr>
              <w:t>usuarios</w:t>
            </w:r>
          </w:p>
        </w:tc>
        <w:tc>
          <w:tcPr>
            <w:tcW w:type="dxa" w:w="3685"/>
            <w:shd w:val="clear" w:color="auto" w:fill="FFFFFF"/>
            <w:vAlign w:val="center"/>
          </w:tcPr>
          <w:p>
            <w:pPr>
              <w:spacing w:before="40" w:after="40"/>
            </w:pPr>
            <w:r>
              <w:rPr>
                <w:rFonts w:ascii="Calibri" w:hAnsi="Calibri"/>
                <w:color w:val="404040"/>
                <w:sz w:val="17"/>
              </w:rPr>
              <w:t>id_usuario UUID, nombre, email, modulo_riego</w:t>
            </w:r>
          </w:p>
        </w:tc>
        <w:tc>
          <w:tcPr>
            <w:tcW w:type="dxa" w:w="4025"/>
            <w:shd w:val="clear" w:color="auto" w:fill="FFFFFF"/>
            <w:vAlign w:val="center"/>
          </w:tcPr>
          <w:p>
            <w:pPr>
              <w:spacing w:before="40" w:after="40"/>
            </w:pPr>
            <w:r>
              <w:rPr>
                <w:rFonts w:ascii="Calibri" w:hAnsi="Calibri"/>
                <w:color w:val="404040"/>
                <w:sz w:val="17"/>
              </w:rPr>
              <w:t>Autenticación futura</w:t>
            </w:r>
          </w:p>
        </w:tc>
      </w:tr>
      <w:tr>
        <w:tc>
          <w:tcPr>
            <w:tcW w:type="dxa" w:w="1701"/>
            <w:shd w:val="clear" w:color="auto" w:fill="DDEAF7"/>
            <w:vAlign w:val="center"/>
          </w:tcPr>
          <w:p>
            <w:pPr>
              <w:spacing w:before="40" w:after="40"/>
            </w:pPr>
            <w:r>
              <w:rPr>
                <w:rFonts w:ascii="Calibri" w:hAnsi="Calibri"/>
                <w:color w:val="404040"/>
                <w:sz w:val="17"/>
              </w:rPr>
              <w:t>parcelas</w:t>
            </w:r>
          </w:p>
        </w:tc>
        <w:tc>
          <w:tcPr>
            <w:tcW w:type="dxa" w:w="3685"/>
            <w:shd w:val="clear" w:color="auto" w:fill="DDEAF7"/>
            <w:vAlign w:val="center"/>
          </w:tcPr>
          <w:p>
            <w:pPr>
              <w:spacing w:before="40" w:after="40"/>
            </w:pPr>
            <w:r>
              <w:rPr>
                <w:rFonts w:ascii="Calibri" w:hAnsi="Calibri"/>
                <w:color w:val="404040"/>
                <w:sz w:val="17"/>
              </w:rPr>
              <w:t>id_parcela UUID, geom GEOMETRY(Polygon,4326), area_ha, cc, pmp, prof_raiz_cm</w:t>
            </w:r>
          </w:p>
        </w:tc>
        <w:tc>
          <w:tcPr>
            <w:tcW w:type="dxa" w:w="4025"/>
            <w:shd w:val="clear" w:color="auto" w:fill="DDEAF7"/>
            <w:vAlign w:val="center"/>
          </w:tcPr>
          <w:p>
            <w:pPr>
              <w:spacing w:before="40" w:after="40"/>
            </w:pPr>
            <w:r>
              <w:rPr>
                <w:rFonts w:ascii="Calibri" w:hAnsi="Calibri"/>
                <w:color w:val="404040"/>
                <w:sz w:val="17"/>
              </w:rPr>
              <w:t>Unidad análisis + geometría PostGIS</w:t>
            </w:r>
          </w:p>
        </w:tc>
      </w:tr>
      <w:tr>
        <w:tc>
          <w:tcPr>
            <w:tcW w:type="dxa" w:w="1701"/>
            <w:shd w:val="clear" w:color="auto" w:fill="FFFFFF"/>
            <w:vAlign w:val="center"/>
          </w:tcPr>
          <w:p>
            <w:pPr>
              <w:spacing w:before="40" w:after="40"/>
            </w:pPr>
            <w:r>
              <w:rPr>
                <w:rFonts w:ascii="Calibri" w:hAnsi="Calibri"/>
                <w:color w:val="404040"/>
                <w:sz w:val="17"/>
              </w:rPr>
              <w:t>cultivos_catalogo</w:t>
            </w:r>
          </w:p>
        </w:tc>
        <w:tc>
          <w:tcPr>
            <w:tcW w:type="dxa" w:w="3685"/>
            <w:shd w:val="clear" w:color="auto" w:fill="FFFFFF"/>
            <w:vAlign w:val="center"/>
          </w:tcPr>
          <w:p>
            <w:pPr>
              <w:spacing w:before="40" w:after="40"/>
            </w:pPr>
            <w:r>
              <w:rPr>
                <w:rFonts w:ascii="Calibri" w:hAnsi="Calibri"/>
                <w:color w:val="404040"/>
                <w:sz w:val="17"/>
              </w:rPr>
              <w:t>id_cultivo, nombre, kc_inicial/medio/final, etc_mm_dia_max</w:t>
            </w:r>
          </w:p>
        </w:tc>
        <w:tc>
          <w:tcPr>
            <w:tcW w:type="dxa" w:w="4025"/>
            <w:shd w:val="clear" w:color="auto" w:fill="FFFFFF"/>
            <w:vAlign w:val="center"/>
          </w:tcPr>
          <w:p>
            <w:pPr>
              <w:spacing w:before="40" w:after="40"/>
            </w:pPr>
            <w:r>
              <w:rPr>
                <w:rFonts w:ascii="Calibri" w:hAnsi="Calibri"/>
                <w:color w:val="404040"/>
                <w:sz w:val="17"/>
              </w:rPr>
              <w:t>Fuente de verdad Kc por etapa</w:t>
            </w:r>
          </w:p>
        </w:tc>
      </w:tr>
      <w:tr>
        <w:tc>
          <w:tcPr>
            <w:tcW w:type="dxa" w:w="1701"/>
            <w:shd w:val="clear" w:color="auto" w:fill="DDEAF7"/>
            <w:vAlign w:val="center"/>
          </w:tcPr>
          <w:p>
            <w:pPr>
              <w:spacing w:before="40" w:after="40"/>
            </w:pPr>
            <w:r>
              <w:rPr>
                <w:rFonts w:ascii="Calibri" w:hAnsi="Calibri"/>
                <w:color w:val="404040"/>
                <w:sz w:val="17"/>
              </w:rPr>
              <w:t>clima_diario</w:t>
            </w:r>
          </w:p>
        </w:tc>
        <w:tc>
          <w:tcPr>
            <w:tcW w:type="dxa" w:w="3685"/>
            <w:shd w:val="clear" w:color="auto" w:fill="DDEAF7"/>
            <w:vAlign w:val="center"/>
          </w:tcPr>
          <w:p>
            <w:pPr>
              <w:spacing w:before="40" w:after="40"/>
            </w:pPr>
            <w:r>
              <w:rPr>
                <w:rFonts w:ascii="Calibri" w:hAnsi="Calibri"/>
                <w:color w:val="404040"/>
                <w:sz w:val="17"/>
              </w:rPr>
              <w:t>id_parcela, fecha, eto_mm, t_max, t_min, rh2m, rad_mj, prec_mm</w:t>
            </w:r>
          </w:p>
        </w:tc>
        <w:tc>
          <w:tcPr>
            <w:tcW w:type="dxa" w:w="4025"/>
            <w:shd w:val="clear" w:color="auto" w:fill="DDEAF7"/>
            <w:vAlign w:val="center"/>
          </w:tcPr>
          <w:p>
            <w:pPr>
              <w:spacing w:before="40" w:after="40"/>
            </w:pPr>
            <w:r>
              <w:rPr>
                <w:rFonts w:ascii="Calibri" w:hAnsi="Calibri"/>
                <w:color w:val="404040"/>
                <w:sz w:val="17"/>
              </w:rPr>
              <w:t>Datos NASA POWER procesados</w:t>
            </w:r>
          </w:p>
        </w:tc>
      </w:tr>
      <w:tr>
        <w:tc>
          <w:tcPr>
            <w:tcW w:type="dxa" w:w="1701"/>
            <w:shd w:val="clear" w:color="auto" w:fill="FFFFFF"/>
            <w:vAlign w:val="center"/>
          </w:tcPr>
          <w:p>
            <w:pPr>
              <w:spacing w:before="40" w:after="40"/>
            </w:pPr>
            <w:r>
              <w:rPr>
                <w:rFonts w:ascii="Calibri" w:hAnsi="Calibri"/>
                <w:color w:val="404040"/>
                <w:sz w:val="17"/>
              </w:rPr>
              <w:t>recomendaciones</w:t>
            </w:r>
          </w:p>
        </w:tc>
        <w:tc>
          <w:tcPr>
            <w:tcW w:type="dxa" w:w="3685"/>
            <w:shd w:val="clear" w:color="auto" w:fill="FFFFFF"/>
            <w:vAlign w:val="center"/>
          </w:tcPr>
          <w:p>
            <w:pPr>
              <w:spacing w:before="40" w:after="40"/>
            </w:pPr>
            <w:r>
              <w:rPr>
                <w:rFonts w:ascii="Calibri" w:hAnsi="Calibri"/>
                <w:color w:val="404040"/>
                <w:sz w:val="17"/>
              </w:rPr>
              <w:t>id_recomendacion UUID, volumen_m3, nivel_urgencia, aceptada, parametros_json</w:t>
            </w:r>
          </w:p>
        </w:tc>
        <w:tc>
          <w:tcPr>
            <w:tcW w:type="dxa" w:w="4025"/>
            <w:shd w:val="clear" w:color="auto" w:fill="FFFFFF"/>
            <w:vAlign w:val="center"/>
          </w:tcPr>
          <w:p>
            <w:pPr>
              <w:spacing w:before="40" w:after="40"/>
            </w:pPr>
            <w:r>
              <w:rPr>
                <w:rFonts w:ascii="Calibri" w:hAnsi="Calibri"/>
                <w:color w:val="404040"/>
                <w:sz w:val="17"/>
              </w:rPr>
              <w:t>Snapshot cálculo + feedback</w:t>
            </w:r>
          </w:p>
        </w:tc>
      </w:tr>
      <w:tr>
        <w:tc>
          <w:tcPr>
            <w:tcW w:type="dxa" w:w="1701"/>
            <w:shd w:val="clear" w:color="auto" w:fill="DDEAF7"/>
            <w:vAlign w:val="center"/>
          </w:tcPr>
          <w:p>
            <w:pPr>
              <w:spacing w:before="40" w:after="40"/>
            </w:pPr>
            <w:r>
              <w:rPr>
                <w:rFonts w:ascii="Calibri" w:hAnsi="Calibri"/>
                <w:color w:val="404040"/>
                <w:sz w:val="17"/>
              </w:rPr>
              <w:t>historial_riego</w:t>
            </w:r>
          </w:p>
        </w:tc>
        <w:tc>
          <w:tcPr>
            <w:tcW w:type="dxa" w:w="3685"/>
            <w:shd w:val="clear" w:color="auto" w:fill="DDEAF7"/>
            <w:vAlign w:val="center"/>
          </w:tcPr>
          <w:p>
            <w:pPr>
              <w:spacing w:before="40" w:after="40"/>
            </w:pPr>
            <w:r>
              <w:rPr>
                <w:rFonts w:ascii="Calibri" w:hAnsi="Calibri"/>
                <w:color w:val="404040"/>
                <w:sz w:val="17"/>
              </w:rPr>
              <w:t>id_parcela, fecha_riego, volumen_aplicado_m3, metodo_riego</w:t>
            </w:r>
          </w:p>
        </w:tc>
        <w:tc>
          <w:tcPr>
            <w:tcW w:type="dxa" w:w="4025"/>
            <w:shd w:val="clear" w:color="auto" w:fill="DDEAF7"/>
            <w:vAlign w:val="center"/>
          </w:tcPr>
          <w:p>
            <w:pPr>
              <w:spacing w:before="40" w:after="40"/>
            </w:pPr>
            <w:r>
              <w:rPr>
                <w:rFonts w:ascii="Calibri" w:hAnsi="Calibri"/>
                <w:color w:val="404040"/>
                <w:sz w:val="17"/>
              </w:rPr>
              <w:t>Riego real ejecutado</w:t>
            </w:r>
          </w:p>
        </w:tc>
      </w:tr>
      <w:tr>
        <w:tc>
          <w:tcPr>
            <w:tcW w:type="dxa" w:w="1701"/>
            <w:shd w:val="clear" w:color="auto" w:fill="FFFFFF"/>
            <w:vAlign w:val="center"/>
          </w:tcPr>
          <w:p>
            <w:pPr>
              <w:spacing w:before="40" w:after="40"/>
            </w:pPr>
            <w:r>
              <w:rPr>
                <w:rFonts w:ascii="Calibri" w:hAnsi="Calibri"/>
                <w:color w:val="404040"/>
                <w:sz w:val="17"/>
              </w:rPr>
              <w:t>costos_ciclo</w:t>
            </w:r>
          </w:p>
        </w:tc>
        <w:tc>
          <w:tcPr>
            <w:tcW w:type="dxa" w:w="3685"/>
            <w:shd w:val="clear" w:color="auto" w:fill="FFFFFF"/>
            <w:vAlign w:val="center"/>
          </w:tcPr>
          <w:p>
            <w:pPr>
              <w:spacing w:before="40" w:after="40"/>
            </w:pPr>
            <w:r>
              <w:rPr>
                <w:rFonts w:ascii="Calibri" w:hAnsi="Calibri"/>
                <w:color w:val="404040"/>
                <w:sz w:val="17"/>
              </w:rPr>
              <w:t>id_ciclo, ahorro_m3, ahorro_mxn, ciclo_nombre</w:t>
            </w:r>
          </w:p>
        </w:tc>
        <w:tc>
          <w:tcPr>
            <w:tcW w:type="dxa" w:w="4025"/>
            <w:shd w:val="clear" w:color="auto" w:fill="FFFFFF"/>
            <w:vAlign w:val="center"/>
          </w:tcPr>
          <w:p>
            <w:pPr>
              <w:spacing w:before="40" w:after="40"/>
            </w:pPr>
            <w:r>
              <w:rPr>
                <w:rFonts w:ascii="Calibri" w:hAnsi="Calibri"/>
                <w:color w:val="404040"/>
                <w:sz w:val="17"/>
              </w:rPr>
              <w:t>KPI ahorro por ciclo</w:t>
            </w:r>
          </w:p>
        </w:tc>
      </w:tr>
      <w:tr>
        <w:tc>
          <w:tcPr>
            <w:tcW w:type="dxa" w:w="1701"/>
            <w:shd w:val="clear" w:color="auto" w:fill="DDEAF7"/>
            <w:vAlign w:val="center"/>
          </w:tcPr>
          <w:p>
            <w:pPr>
              <w:spacing w:before="40" w:after="40"/>
            </w:pPr>
            <w:r>
              <w:rPr>
                <w:rFonts w:ascii="Calibri" w:hAnsi="Calibri"/>
                <w:color w:val="404040"/>
                <w:sz w:val="17"/>
              </w:rPr>
              <w:t>vista_kpi_modulo</w:t>
            </w:r>
          </w:p>
        </w:tc>
        <w:tc>
          <w:tcPr>
            <w:tcW w:type="dxa" w:w="3685"/>
            <w:shd w:val="clear" w:color="auto" w:fill="DDEAF7"/>
            <w:vAlign w:val="center"/>
          </w:tcPr>
          <w:p>
            <w:pPr>
              <w:spacing w:before="40" w:after="40"/>
            </w:pPr>
            <w:r>
              <w:rPr>
                <w:rFonts w:ascii="Calibri" w:hAnsi="Calibri"/>
                <w:color w:val="404040"/>
                <w:sz w:val="17"/>
              </w:rPr>
              <w:t>Agrega ahorro total, ha bajo gestión, urgencias por módulo</w:t>
            </w:r>
          </w:p>
        </w:tc>
        <w:tc>
          <w:tcPr>
            <w:tcW w:type="dxa" w:w="4025"/>
            <w:shd w:val="clear" w:color="auto" w:fill="DDEAF7"/>
            <w:vAlign w:val="center"/>
          </w:tcPr>
          <w:p>
            <w:pPr>
              <w:spacing w:before="40" w:after="40"/>
            </w:pPr>
            <w:r>
              <w:rPr>
                <w:rFonts w:ascii="Calibri" w:hAnsi="Calibri"/>
                <w:color w:val="404040"/>
                <w:sz w:val="17"/>
              </w:rPr>
              <w:t>Dashboard BI — lectura directa</w:t>
            </w:r>
          </w:p>
        </w:tc>
      </w:tr>
      <w:tr>
        <w:tc>
          <w:tcPr>
            <w:tcW w:type="dxa" w:w="1701"/>
            <w:shd w:val="clear" w:color="auto" w:fill="FFFFFF"/>
            <w:vAlign w:val="center"/>
          </w:tcPr>
          <w:p>
            <w:pPr>
              <w:spacing w:before="40" w:after="40"/>
            </w:pPr>
            <w:r>
              <w:rPr>
                <w:rFonts w:ascii="Calibri" w:hAnsi="Calibri"/>
                <w:color w:val="404040"/>
                <w:sz w:val="17"/>
              </w:rPr>
              <w:t>vista_deficit_diario</w:t>
            </w:r>
          </w:p>
        </w:tc>
        <w:tc>
          <w:tcPr>
            <w:tcW w:type="dxa" w:w="3685"/>
            <w:shd w:val="clear" w:color="auto" w:fill="FFFFFF"/>
            <w:vAlign w:val="center"/>
          </w:tcPr>
          <w:p>
            <w:pPr>
              <w:spacing w:before="40" w:after="40"/>
            </w:pPr>
            <w:r>
              <w:rPr>
                <w:rFonts w:ascii="Calibri" w:hAnsi="Calibri"/>
                <w:color w:val="404040"/>
                <w:sz w:val="17"/>
              </w:rPr>
              <w:t>ETo − ETc por parcela y fecha</w:t>
            </w:r>
          </w:p>
        </w:tc>
        <w:tc>
          <w:tcPr>
            <w:tcW w:type="dxa" w:w="4025"/>
            <w:shd w:val="clear" w:color="auto" w:fill="FFFFFF"/>
            <w:vAlign w:val="center"/>
          </w:tcPr>
          <w:p>
            <w:pPr>
              <w:spacing w:before="40" w:after="40"/>
            </w:pPr>
            <w:r>
              <w:rPr>
                <w:rFonts w:ascii="Calibri" w:hAnsi="Calibri"/>
                <w:color w:val="404040"/>
                <w:sz w:val="17"/>
              </w:rPr>
              <w:t>Insumo forecast y alertas</w:t>
            </w:r>
          </w:p>
        </w:tc>
      </w:tr>
    </w:tbl>
    <w:p>
      <w:pPr>
        <w:spacing w:after="60"/>
      </w:pPr>
    </w:p>
    <w:p>
      <w:pPr>
        <w:pStyle w:val="Heading2"/>
        <w:pBdr>
          <w:bottom w:val="single" w:sz="4" w:space="1" w:color="2E75B6"/>
        </w:pBdr>
      </w:pPr>
      <w:r>
        <w:t>7.2  Capacidades PostGIS y Trazabilidad</w:t>
      </w:r>
    </w:p>
    <w:p>
      <w:pPr>
        <w:spacing w:after="60" w:before="0"/>
      </w:pPr>
      <w:r>
        <w:rPr>
          <w:rFonts w:ascii="Calibri" w:hAnsi="Calibri"/>
          <w:b w:val="0"/>
          <w:i w:val="0"/>
          <w:color w:val="404040"/>
          <w:sz w:val="19"/>
        </w:rPr>
        <w:t>parcelas.geom = GEOMETRY(Polygon,4326) con índice GIST. Endpoint GET /api/parcelas/geojson devuelve FeatureCollection directamente a Leaflet. Migración Alembic 0001_postgis_geom_jsonb_to_geometry convirtió el campo desde JSONB legado.</w:t>
      </w:r>
    </w:p>
    <w:p>
      <w:pPr>
        <w:spacing w:after="60" w:before="0"/>
      </w:pPr>
      <w:r>
        <w:rPr>
          <w:rFonts w:ascii="Calibri" w:hAnsi="Calibri"/>
          <w:b w:val="0"/>
          <w:i w:val="0"/>
          <w:color w:val="404040"/>
          <w:sz w:val="19"/>
        </w:rPr>
        <w:t>Trazabilidad completa: cada recomendación persiste parametros_json con snapshot de todos los inputs (ETo, Kc, humedad, método). Dado un id_recomendacion, el cálculo es 100% reproducible. El campo aceptada (pendiente/aceptada/modificada/ignorada) cierra el loop de datos reales para reentrenamiento futuro de los modelos ML.</w:t>
      </w:r>
    </w:p>
    <w:p>
      <w:r>
        <w:br/>
      </w:r>
    </w:p>
    <w:p>
      <w:pPr>
        <w:pStyle w:val="Heading1"/>
        <w:shd w:val="clear" w:color="auto" w:fill="1F497D"/>
      </w:pPr>
      <w:r>
        <w:rPr>
          <w:b/>
          <w:color w:val="FFFFFF"/>
        </w:rPr>
        <w:t>VIII.  Machine Learning — Cuatro Modelos</w:t>
      </w:r>
    </w:p>
    <w:p>
      <w:pPr>
        <w:pStyle w:val="Heading2"/>
        <w:pBdr>
          <w:bottom w:val="single" w:sz="4" w:space="1" w:color="2E75B6"/>
        </w:pBdr>
      </w:pPr>
      <w:r>
        <w:t>8.1  Resumen de Modelos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587"/>
            <w:shd w:val="clear" w:color="auto" w:fill="1F497D"/>
            <w:vAlign w:val="center"/>
          </w:tcPr>
          <w:p>
            <w:pPr>
              <w:spacing w:before="40" w:after="40"/>
            </w:pPr>
            <w:r>
              <w:rPr>
                <w:rFonts w:ascii="Calibri" w:hAnsi="Calibri"/>
                <w:b/>
                <w:color w:val="FFFFFF"/>
                <w:sz w:val="17"/>
              </w:rPr>
              <w:t>Modelo</w:t>
            </w:r>
          </w:p>
        </w:tc>
        <w:tc>
          <w:tcPr>
            <w:tcW w:type="dxa" w:w="1247"/>
            <w:shd w:val="clear" w:color="auto" w:fill="1F497D"/>
            <w:vAlign w:val="center"/>
          </w:tcPr>
          <w:p>
            <w:pPr>
              <w:spacing w:before="40" w:after="40"/>
            </w:pPr>
            <w:r>
              <w:rPr>
                <w:rFonts w:ascii="Calibri" w:hAnsi="Calibri"/>
                <w:b/>
                <w:color w:val="FFFFFF"/>
                <w:sz w:val="17"/>
              </w:rPr>
              <w:t>Tipo</w:t>
            </w:r>
          </w:p>
        </w:tc>
        <w:tc>
          <w:tcPr>
            <w:tcW w:type="dxa" w:w="1984"/>
            <w:shd w:val="clear" w:color="auto" w:fill="1F497D"/>
            <w:vAlign w:val="center"/>
          </w:tcPr>
          <w:p>
            <w:pPr>
              <w:spacing w:before="40" w:after="40"/>
            </w:pPr>
            <w:r>
              <w:rPr>
                <w:rFonts w:ascii="Calibri" w:hAnsi="Calibri"/>
                <w:b/>
                <w:color w:val="FFFFFF"/>
                <w:sz w:val="17"/>
              </w:rPr>
              <w:t>Variable objetivo</w:t>
            </w:r>
          </w:p>
        </w:tc>
        <w:tc>
          <w:tcPr>
            <w:tcW w:type="dxa" w:w="2268"/>
            <w:shd w:val="clear" w:color="auto" w:fill="1F497D"/>
            <w:vAlign w:val="center"/>
          </w:tcPr>
          <w:p>
            <w:pPr>
              <w:spacing w:before="40" w:after="40"/>
            </w:pPr>
            <w:r>
              <w:rPr>
                <w:rFonts w:ascii="Calibri" w:hAnsi="Calibri"/>
                <w:b/>
                <w:color w:val="FFFFFF"/>
                <w:sz w:val="17"/>
              </w:rPr>
              <w:t>Métricas</w:t>
            </w:r>
          </w:p>
        </w:tc>
        <w:tc>
          <w:tcPr>
            <w:tcW w:type="dxa" w:w="2324"/>
            <w:shd w:val="clear" w:color="auto" w:fill="1F497D"/>
            <w:vAlign w:val="center"/>
          </w:tcPr>
          <w:p>
            <w:pPr>
              <w:spacing w:before="40" w:after="40"/>
            </w:pPr>
            <w:r>
              <w:rPr>
                <w:rFonts w:ascii="Calibri" w:hAnsi="Calibri"/>
                <w:b/>
                <w:color w:val="FFFFFF"/>
                <w:sz w:val="17"/>
              </w:rPr>
              <w:t>Uso en sistema</w:t>
            </w:r>
          </w:p>
        </w:tc>
      </w:tr>
      <w:tr>
        <w:tc>
          <w:tcPr>
            <w:tcW w:type="dxa" w:w="1587"/>
            <w:shd w:val="clear" w:color="auto" w:fill="FFFFFF"/>
            <w:vAlign w:val="center"/>
          </w:tcPr>
          <w:p>
            <w:pPr>
              <w:spacing w:before="40" w:after="40"/>
            </w:pPr>
            <w:r>
              <w:rPr>
                <w:rFonts w:ascii="Calibri" w:hAnsi="Calibri"/>
                <w:color w:val="404040"/>
                <w:sz w:val="17"/>
              </w:rPr>
              <w:t>K-Means</w:t>
            </w:r>
          </w:p>
        </w:tc>
        <w:tc>
          <w:tcPr>
            <w:tcW w:type="dxa" w:w="1247"/>
            <w:shd w:val="clear" w:color="auto" w:fill="FFFFFF"/>
            <w:vAlign w:val="center"/>
          </w:tcPr>
          <w:p>
            <w:pPr>
              <w:spacing w:before="40" w:after="40"/>
            </w:pPr>
            <w:r>
              <w:rPr>
                <w:rFonts w:ascii="Calibri" w:hAnsi="Calibri"/>
                <w:color w:val="404040"/>
                <w:sz w:val="17"/>
              </w:rPr>
              <w:t>Clustering no supervisado</w:t>
            </w:r>
          </w:p>
        </w:tc>
        <w:tc>
          <w:tcPr>
            <w:tcW w:type="dxa" w:w="1984"/>
            <w:shd w:val="clear" w:color="auto" w:fill="FFFFFF"/>
            <w:vAlign w:val="center"/>
          </w:tcPr>
          <w:p>
            <w:pPr>
              <w:spacing w:before="40" w:after="40"/>
            </w:pPr>
            <w:r>
              <w:rPr>
                <w:rFonts w:ascii="Calibri" w:hAnsi="Calibri"/>
                <w:color w:val="404040"/>
                <w:sz w:val="17"/>
              </w:rPr>
              <w:t>Grupos edáficos similares</w:t>
            </w:r>
          </w:p>
        </w:tc>
        <w:tc>
          <w:tcPr>
            <w:tcW w:type="dxa" w:w="2268"/>
            <w:shd w:val="clear" w:color="auto" w:fill="FFFFFF"/>
            <w:vAlign w:val="center"/>
          </w:tcPr>
          <w:p>
            <w:pPr>
              <w:spacing w:before="40" w:after="40"/>
            </w:pPr>
            <w:r>
              <w:rPr>
                <w:rFonts w:ascii="Calibri" w:hAnsi="Calibri"/>
                <w:color w:val="404040"/>
                <w:sz w:val="17"/>
              </w:rPr>
              <w:t>Silhouette&gt;0.65, k=5</w:t>
            </w:r>
          </w:p>
        </w:tc>
        <w:tc>
          <w:tcPr>
            <w:tcW w:type="dxa" w:w="2324"/>
            <w:shd w:val="clear" w:color="auto" w:fill="FFFFFF"/>
            <w:vAlign w:val="center"/>
          </w:tcPr>
          <w:p>
            <w:pPr>
              <w:spacing w:before="40" w:after="40"/>
            </w:pPr>
            <w:r>
              <w:rPr>
                <w:rFonts w:ascii="Calibri" w:hAnsi="Calibri"/>
                <w:color w:val="404040"/>
                <w:sz w:val="17"/>
              </w:rPr>
              <w:t>Recomendar a parcelas nuevas sin historial</w:t>
            </w:r>
          </w:p>
        </w:tc>
      </w:tr>
      <w:tr>
        <w:tc>
          <w:tcPr>
            <w:tcW w:type="dxa" w:w="1587"/>
            <w:shd w:val="clear" w:color="auto" w:fill="DDEAF7"/>
            <w:vAlign w:val="center"/>
          </w:tcPr>
          <w:p>
            <w:pPr>
              <w:spacing w:before="40" w:after="40"/>
            </w:pPr>
            <w:r>
              <w:rPr>
                <w:rFonts w:ascii="Calibri" w:hAnsi="Calibri"/>
                <w:color w:val="404040"/>
                <w:sz w:val="17"/>
              </w:rPr>
              <w:t>Ridge Regression</w:t>
            </w:r>
          </w:p>
        </w:tc>
        <w:tc>
          <w:tcPr>
            <w:tcW w:type="dxa" w:w="1247"/>
            <w:shd w:val="clear" w:color="auto" w:fill="DDEAF7"/>
            <w:vAlign w:val="center"/>
          </w:tcPr>
          <w:p>
            <w:pPr>
              <w:spacing w:before="40" w:after="40"/>
            </w:pPr>
            <w:r>
              <w:rPr>
                <w:rFonts w:ascii="Calibri" w:hAnsi="Calibri"/>
                <w:color w:val="404040"/>
                <w:sz w:val="17"/>
              </w:rPr>
              <w:t>Regresión supervisada</w:t>
            </w:r>
          </w:p>
        </w:tc>
        <w:tc>
          <w:tcPr>
            <w:tcW w:type="dxa" w:w="1984"/>
            <w:shd w:val="clear" w:color="auto" w:fill="DDEAF7"/>
            <w:vAlign w:val="center"/>
          </w:tcPr>
          <w:p>
            <w:pPr>
              <w:spacing w:before="40" w:after="40"/>
            </w:pPr>
            <w:r>
              <w:rPr>
                <w:rFonts w:ascii="Calibri" w:hAnsi="Calibri"/>
                <w:color w:val="404040"/>
                <w:sz w:val="17"/>
              </w:rPr>
              <w:t>ETo próximos 7 días (mm/día)</w:t>
            </w:r>
          </w:p>
        </w:tc>
        <w:tc>
          <w:tcPr>
            <w:tcW w:type="dxa" w:w="2268"/>
            <w:shd w:val="clear" w:color="auto" w:fill="DDEAF7"/>
            <w:vAlign w:val="center"/>
          </w:tcPr>
          <w:p>
            <w:pPr>
              <w:spacing w:before="40" w:after="40"/>
            </w:pPr>
            <w:r>
              <w:rPr>
                <w:rFonts w:ascii="Calibri" w:hAnsi="Calibri"/>
                <w:color w:val="404040"/>
                <w:sz w:val="17"/>
              </w:rPr>
              <w:t>RMSE=0.412, R²=0.847 (5-fold CV)</w:t>
            </w:r>
          </w:p>
        </w:tc>
        <w:tc>
          <w:tcPr>
            <w:tcW w:type="dxa" w:w="2324"/>
            <w:shd w:val="clear" w:color="auto" w:fill="DDEAF7"/>
            <w:vAlign w:val="center"/>
          </w:tcPr>
          <w:p>
            <w:pPr>
              <w:spacing w:before="40" w:after="40"/>
            </w:pPr>
            <w:r>
              <w:rPr>
                <w:rFonts w:ascii="Calibri" w:hAnsi="Calibri"/>
                <w:color w:val="404040"/>
                <w:sz w:val="17"/>
              </w:rPr>
              <w:t>Forecast tab Riego — planificación anticipada</w:t>
            </w:r>
          </w:p>
        </w:tc>
      </w:tr>
      <w:tr>
        <w:tc>
          <w:tcPr>
            <w:tcW w:type="dxa" w:w="1587"/>
            <w:shd w:val="clear" w:color="auto" w:fill="FFFFFF"/>
            <w:vAlign w:val="center"/>
          </w:tcPr>
          <w:p>
            <w:pPr>
              <w:spacing w:before="40" w:after="40"/>
            </w:pPr>
            <w:r>
              <w:rPr>
                <w:rFonts w:ascii="Calibri" w:hAnsi="Calibri"/>
                <w:color w:val="404040"/>
                <w:sz w:val="17"/>
              </w:rPr>
              <w:t>XGBoost M1</w:t>
            </w:r>
          </w:p>
        </w:tc>
        <w:tc>
          <w:tcPr>
            <w:tcW w:type="dxa" w:w="1247"/>
            <w:shd w:val="clear" w:color="auto" w:fill="FFFFFF"/>
            <w:vAlign w:val="center"/>
          </w:tcPr>
          <w:p>
            <w:pPr>
              <w:spacing w:before="40" w:after="40"/>
            </w:pPr>
            <w:r>
              <w:rPr>
                <w:rFonts w:ascii="Calibri" w:hAnsi="Calibri"/>
                <w:color w:val="404040"/>
                <w:sz w:val="17"/>
              </w:rPr>
              <w:t>Regresión supervisada</w:t>
            </w:r>
          </w:p>
        </w:tc>
        <w:tc>
          <w:tcPr>
            <w:tcW w:type="dxa" w:w="1984"/>
            <w:shd w:val="clear" w:color="auto" w:fill="FFFFFF"/>
            <w:vAlign w:val="center"/>
          </w:tcPr>
          <w:p>
            <w:pPr>
              <w:spacing w:before="40" w:after="40"/>
            </w:pPr>
            <w:r>
              <w:rPr>
                <w:rFonts w:ascii="Calibri" w:hAnsi="Calibri"/>
                <w:color w:val="404040"/>
                <w:sz w:val="17"/>
              </w:rPr>
              <w:t>volumen_agua_total_m3_ha por ciclo</w:t>
            </w:r>
          </w:p>
        </w:tc>
        <w:tc>
          <w:tcPr>
            <w:tcW w:type="dxa" w:w="2268"/>
            <w:shd w:val="clear" w:color="auto" w:fill="FFFFFF"/>
            <w:vAlign w:val="center"/>
          </w:tcPr>
          <w:p>
            <w:pPr>
              <w:spacing w:before="40" w:after="40"/>
            </w:pPr>
            <w:r>
              <w:rPr>
                <w:rFonts w:ascii="Calibri" w:hAnsi="Calibri"/>
                <w:color w:val="404040"/>
                <w:sz w:val="17"/>
              </w:rPr>
              <w:t>R²=0.953, RMSE=312 m³/ha</w:t>
            </w:r>
          </w:p>
        </w:tc>
        <w:tc>
          <w:tcPr>
            <w:tcW w:type="dxa" w:w="2324"/>
            <w:shd w:val="clear" w:color="auto" w:fill="FFFFFF"/>
            <w:vAlign w:val="center"/>
          </w:tcPr>
          <w:p>
            <w:pPr>
              <w:spacing w:before="40" w:after="40"/>
            </w:pPr>
            <w:r>
              <w:rPr>
                <w:rFonts w:ascii="Calibri" w:hAnsi="Calibri"/>
                <w:color w:val="404040"/>
                <w:sz w:val="17"/>
              </w:rPr>
              <w:t>Predicción consumo antes del ciclo — decisiones de módulo</w:t>
            </w:r>
          </w:p>
        </w:tc>
      </w:tr>
      <w:tr>
        <w:tc>
          <w:tcPr>
            <w:tcW w:type="dxa" w:w="1587"/>
            <w:shd w:val="clear" w:color="auto" w:fill="DDEAF7"/>
            <w:vAlign w:val="center"/>
          </w:tcPr>
          <w:p>
            <w:pPr>
              <w:spacing w:before="40" w:after="40"/>
            </w:pPr>
            <w:r>
              <w:rPr>
                <w:rFonts w:ascii="Calibri" w:hAnsi="Calibri"/>
                <w:color w:val="404040"/>
                <w:sz w:val="17"/>
              </w:rPr>
              <w:t>XGBoost M2</w:t>
            </w:r>
          </w:p>
        </w:tc>
        <w:tc>
          <w:tcPr>
            <w:tcW w:type="dxa" w:w="1247"/>
            <w:shd w:val="clear" w:color="auto" w:fill="DDEAF7"/>
            <w:vAlign w:val="center"/>
          </w:tcPr>
          <w:p>
            <w:pPr>
              <w:spacing w:before="40" w:after="40"/>
            </w:pPr>
            <w:r>
              <w:rPr>
                <w:rFonts w:ascii="Calibri" w:hAnsi="Calibri"/>
                <w:color w:val="404040"/>
                <w:sz w:val="17"/>
              </w:rPr>
              <w:t>Regresión supervisada</w:t>
            </w:r>
          </w:p>
        </w:tc>
        <w:tc>
          <w:tcPr>
            <w:tcW w:type="dxa" w:w="1984"/>
            <w:shd w:val="clear" w:color="auto" w:fill="DDEAF7"/>
            <w:vAlign w:val="center"/>
          </w:tcPr>
          <w:p>
            <w:pPr>
              <w:spacing w:before="40" w:after="40"/>
            </w:pPr>
            <w:r>
              <w:rPr>
                <w:rFonts w:ascii="Calibri" w:hAnsi="Calibri"/>
                <w:color w:val="404040"/>
                <w:sz w:val="17"/>
              </w:rPr>
              <w:t>rendimiento_ton_ha por ciclo</w:t>
            </w:r>
          </w:p>
        </w:tc>
        <w:tc>
          <w:tcPr>
            <w:tcW w:type="dxa" w:w="2268"/>
            <w:shd w:val="clear" w:color="auto" w:fill="DDEAF7"/>
            <w:vAlign w:val="center"/>
          </w:tcPr>
          <w:p>
            <w:pPr>
              <w:spacing w:before="40" w:after="40"/>
            </w:pPr>
            <w:r>
              <w:rPr>
                <w:rFonts w:ascii="Calibri" w:hAnsi="Calibri"/>
                <w:color w:val="404040"/>
                <w:sz w:val="17"/>
              </w:rPr>
              <w:t>R²=0.941, RMSE=0.28 ton/ha</w:t>
            </w:r>
          </w:p>
        </w:tc>
        <w:tc>
          <w:tcPr>
            <w:tcW w:type="dxa" w:w="2324"/>
            <w:shd w:val="clear" w:color="auto" w:fill="DDEAF7"/>
            <w:vAlign w:val="center"/>
          </w:tcPr>
          <w:p>
            <w:pPr>
              <w:spacing w:before="40" w:after="40"/>
            </w:pPr>
            <w:r>
              <w:rPr>
                <w:rFonts w:ascii="Calibri" w:hAnsi="Calibri"/>
                <w:color w:val="404040"/>
                <w:sz w:val="17"/>
              </w:rPr>
              <w:t>Predicción rendimiento agrícola — análisis ROI</w:t>
            </w:r>
          </w:p>
        </w:tc>
      </w:tr>
      <w:tr>
        <w:tc>
          <w:tcPr>
            <w:tcW w:type="dxa" w:w="1587"/>
            <w:shd w:val="clear" w:color="auto" w:fill="FFFFFF"/>
            <w:vAlign w:val="center"/>
          </w:tcPr>
          <w:p>
            <w:pPr>
              <w:spacing w:before="40" w:after="40"/>
            </w:pPr>
            <w:r>
              <w:rPr>
                <w:rFonts w:ascii="Calibri" w:hAnsi="Calibri"/>
                <w:color w:val="404040"/>
                <w:sz w:val="17"/>
              </w:rPr>
              <w:t>Isolation Forest</w:t>
            </w:r>
          </w:p>
        </w:tc>
        <w:tc>
          <w:tcPr>
            <w:tcW w:type="dxa" w:w="1247"/>
            <w:shd w:val="clear" w:color="auto" w:fill="FFFFFF"/>
            <w:vAlign w:val="center"/>
          </w:tcPr>
          <w:p>
            <w:pPr>
              <w:spacing w:before="40" w:after="40"/>
            </w:pPr>
            <w:r>
              <w:rPr>
                <w:rFonts w:ascii="Calibri" w:hAnsi="Calibri"/>
                <w:color w:val="404040"/>
                <w:sz w:val="17"/>
              </w:rPr>
              <w:t>Detección anomalías</w:t>
            </w:r>
          </w:p>
        </w:tc>
        <w:tc>
          <w:tcPr>
            <w:tcW w:type="dxa" w:w="1984"/>
            <w:shd w:val="clear" w:color="auto" w:fill="FFFFFF"/>
            <w:vAlign w:val="center"/>
          </w:tcPr>
          <w:p>
            <w:pPr>
              <w:spacing w:before="40" w:after="40"/>
            </w:pPr>
            <w:r>
              <w:rPr>
                <w:rFonts w:ascii="Calibri" w:hAnsi="Calibri"/>
                <w:color w:val="404040"/>
                <w:sz w:val="17"/>
              </w:rPr>
              <w:t>Score de atipicidad por (parcela,ciclo)</w:t>
            </w:r>
          </w:p>
        </w:tc>
        <w:tc>
          <w:tcPr>
            <w:tcW w:type="dxa" w:w="2268"/>
            <w:shd w:val="clear" w:color="auto" w:fill="FFFFFF"/>
            <w:vAlign w:val="center"/>
          </w:tcPr>
          <w:p>
            <w:pPr>
              <w:spacing w:before="40" w:after="40"/>
            </w:pPr>
            <w:r>
              <w:rPr>
                <w:rFonts w:ascii="Calibri" w:hAnsi="Calibri"/>
                <w:color w:val="404040"/>
                <w:sz w:val="17"/>
              </w:rPr>
              <w:t>F1=0.87, contamination=0.05</w:t>
            </w:r>
          </w:p>
        </w:tc>
        <w:tc>
          <w:tcPr>
            <w:tcW w:type="dxa" w:w="2324"/>
            <w:shd w:val="clear" w:color="auto" w:fill="FFFFFF"/>
            <w:vAlign w:val="center"/>
          </w:tcPr>
          <w:p>
            <w:pPr>
              <w:spacing w:before="40" w:after="40"/>
            </w:pPr>
            <w:r>
              <w:rPr>
                <w:rFonts w:ascii="Calibri" w:hAnsi="Calibri"/>
                <w:color w:val="404040"/>
                <w:sz w:val="17"/>
              </w:rPr>
              <w:t>Alertas sobre-irrigación, sub-irrigación, pánico</w:t>
            </w:r>
          </w:p>
        </w:tc>
      </w:tr>
    </w:tbl>
    <w:p>
      <w:pPr>
        <w:spacing w:after="60"/>
      </w:pPr>
    </w:p>
    <w:p>
      <w:pPr>
        <w:pStyle w:val="Heading2"/>
        <w:pBdr>
          <w:bottom w:val="single" w:sz="4" w:space="1" w:color="2E75B6"/>
        </w:pBdr>
      </w:pPr>
      <w:r>
        <w:t>8.2  Ridge Regression — Forecast ETo 7 Días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984"/>
            <w:shd w:val="clear" w:color="auto" w:fill="1F497D"/>
            <w:vAlign w:val="center"/>
          </w:tcPr>
          <w:p>
            <w:pPr>
              <w:spacing w:before="40" w:after="40"/>
            </w:pPr>
            <w:r>
              <w:rPr>
                <w:rFonts w:ascii="Calibri" w:hAnsi="Calibri"/>
                <w:b/>
                <w:color w:val="FFFFFF"/>
                <w:sz w:val="17"/>
              </w:rPr>
              <w:t>Métrica</w:t>
            </w:r>
          </w:p>
        </w:tc>
        <w:tc>
          <w:tcPr>
            <w:tcW w:type="dxa" w:w="1701"/>
            <w:shd w:val="clear" w:color="auto" w:fill="1F497D"/>
            <w:vAlign w:val="center"/>
          </w:tcPr>
          <w:p>
            <w:pPr>
              <w:spacing w:before="40" w:after="40"/>
            </w:pPr>
            <w:r>
              <w:rPr>
                <w:rFonts w:ascii="Calibri" w:hAnsi="Calibri"/>
                <w:b/>
                <w:color w:val="FFFFFF"/>
                <w:sz w:val="17"/>
              </w:rPr>
              <w:t>Ridge MILPÍN</w:t>
            </w:r>
          </w:p>
        </w:tc>
        <w:tc>
          <w:tcPr>
            <w:tcW w:type="dxa" w:w="1701"/>
            <w:shd w:val="clear" w:color="auto" w:fill="1F497D"/>
            <w:vAlign w:val="center"/>
          </w:tcPr>
          <w:p>
            <w:pPr>
              <w:spacing w:before="40" w:after="40"/>
            </w:pPr>
            <w:r>
              <w:rPr>
                <w:rFonts w:ascii="Calibri" w:hAnsi="Calibri"/>
                <w:b/>
                <w:color w:val="FFFFFF"/>
                <w:sz w:val="17"/>
              </w:rPr>
              <w:t>Baseline (media 14d)</w:t>
            </w:r>
          </w:p>
        </w:tc>
        <w:tc>
          <w:tcPr>
            <w:tcW w:type="dxa" w:w="4025"/>
            <w:shd w:val="clear" w:color="auto" w:fill="1F497D"/>
            <w:vAlign w:val="center"/>
          </w:tcPr>
          <w:p>
            <w:pPr>
              <w:spacing w:before="40" w:after="40"/>
            </w:pPr>
            <w:r>
              <w:rPr>
                <w:rFonts w:ascii="Calibri" w:hAnsi="Calibri"/>
                <w:b/>
                <w:color w:val="FFFFFF"/>
                <w:sz w:val="17"/>
              </w:rPr>
              <w:t>Mejora</w:t>
            </w:r>
          </w:p>
        </w:tc>
      </w:tr>
      <w:tr>
        <w:tc>
          <w:tcPr>
            <w:tcW w:type="dxa" w:w="1984"/>
            <w:shd w:val="clear" w:color="auto" w:fill="FFFFFF"/>
            <w:vAlign w:val="center"/>
          </w:tcPr>
          <w:p>
            <w:pPr>
              <w:spacing w:before="40" w:after="40"/>
            </w:pPr>
            <w:r>
              <w:rPr>
                <w:rFonts w:ascii="Calibri" w:hAnsi="Calibri"/>
                <w:color w:val="404040"/>
                <w:sz w:val="17"/>
              </w:rPr>
              <w:t>RMSE (mm/día)</w:t>
            </w:r>
          </w:p>
        </w:tc>
        <w:tc>
          <w:tcPr>
            <w:tcW w:type="dxa" w:w="1701"/>
            <w:shd w:val="clear" w:color="auto" w:fill="FFFFFF"/>
            <w:vAlign w:val="center"/>
          </w:tcPr>
          <w:p>
            <w:pPr>
              <w:spacing w:before="40" w:after="40"/>
            </w:pPr>
            <w:r>
              <w:rPr>
                <w:rFonts w:ascii="Calibri" w:hAnsi="Calibri"/>
                <w:color w:val="404040"/>
                <w:sz w:val="17"/>
              </w:rPr>
              <w:t>0.412</w:t>
            </w:r>
          </w:p>
        </w:tc>
        <w:tc>
          <w:tcPr>
            <w:tcW w:type="dxa" w:w="1701"/>
            <w:shd w:val="clear" w:color="auto" w:fill="FFFFFF"/>
            <w:vAlign w:val="center"/>
          </w:tcPr>
          <w:p>
            <w:pPr>
              <w:spacing w:before="40" w:after="40"/>
            </w:pPr>
            <w:r>
              <w:rPr>
                <w:rFonts w:ascii="Calibri" w:hAnsi="Calibri"/>
                <w:color w:val="404040"/>
                <w:sz w:val="17"/>
              </w:rPr>
              <w:t>0.705</w:t>
            </w:r>
          </w:p>
        </w:tc>
        <w:tc>
          <w:tcPr>
            <w:tcW w:type="dxa" w:w="4025"/>
            <w:shd w:val="clear" w:color="auto" w:fill="FFFFFF"/>
            <w:vAlign w:val="center"/>
          </w:tcPr>
          <w:p>
            <w:pPr>
              <w:spacing w:before="40" w:after="40"/>
            </w:pPr>
            <w:r>
              <w:rPr>
                <w:rFonts w:ascii="Calibri" w:hAnsi="Calibri"/>
                <w:color w:val="404040"/>
                <w:sz w:val="17"/>
              </w:rPr>
              <w:t>−41.6%</w:t>
            </w:r>
          </w:p>
        </w:tc>
      </w:tr>
      <w:tr>
        <w:tc>
          <w:tcPr>
            <w:tcW w:type="dxa" w:w="1984"/>
            <w:shd w:val="clear" w:color="auto" w:fill="DDEAF7"/>
            <w:vAlign w:val="center"/>
          </w:tcPr>
          <w:p>
            <w:pPr>
              <w:spacing w:before="40" w:after="40"/>
            </w:pPr>
            <w:r>
              <w:rPr>
                <w:rFonts w:ascii="Calibri" w:hAnsi="Calibri"/>
                <w:color w:val="404040"/>
                <w:sz w:val="17"/>
              </w:rPr>
              <w:t>MAE (mm/día)</w:t>
            </w:r>
          </w:p>
        </w:tc>
        <w:tc>
          <w:tcPr>
            <w:tcW w:type="dxa" w:w="1701"/>
            <w:shd w:val="clear" w:color="auto" w:fill="DDEAF7"/>
            <w:vAlign w:val="center"/>
          </w:tcPr>
          <w:p>
            <w:pPr>
              <w:spacing w:before="40" w:after="40"/>
            </w:pPr>
            <w:r>
              <w:rPr>
                <w:rFonts w:ascii="Calibri" w:hAnsi="Calibri"/>
                <w:color w:val="404040"/>
                <w:sz w:val="17"/>
              </w:rPr>
              <w:t>0.318</w:t>
            </w:r>
          </w:p>
        </w:tc>
        <w:tc>
          <w:tcPr>
            <w:tcW w:type="dxa" w:w="1701"/>
            <w:shd w:val="clear" w:color="auto" w:fill="DDEAF7"/>
            <w:vAlign w:val="center"/>
          </w:tcPr>
          <w:p>
            <w:pPr>
              <w:spacing w:before="40" w:after="40"/>
            </w:pPr>
            <w:r>
              <w:rPr>
                <w:rFonts w:ascii="Calibri" w:hAnsi="Calibri"/>
                <w:color w:val="404040"/>
                <w:sz w:val="17"/>
              </w:rPr>
              <w:t>0.541</w:t>
            </w:r>
          </w:p>
        </w:tc>
        <w:tc>
          <w:tcPr>
            <w:tcW w:type="dxa" w:w="4025"/>
            <w:shd w:val="clear" w:color="auto" w:fill="DDEAF7"/>
            <w:vAlign w:val="center"/>
          </w:tcPr>
          <w:p>
            <w:pPr>
              <w:spacing w:before="40" w:after="40"/>
            </w:pPr>
            <w:r>
              <w:rPr>
                <w:rFonts w:ascii="Calibri" w:hAnsi="Calibri"/>
                <w:color w:val="404040"/>
                <w:sz w:val="17"/>
              </w:rPr>
              <w:t>−41.2%</w:t>
            </w:r>
          </w:p>
        </w:tc>
      </w:tr>
      <w:tr>
        <w:tc>
          <w:tcPr>
            <w:tcW w:type="dxa" w:w="1984"/>
            <w:shd w:val="clear" w:color="auto" w:fill="FFFFFF"/>
            <w:vAlign w:val="center"/>
          </w:tcPr>
          <w:p>
            <w:pPr>
              <w:spacing w:before="40" w:after="40"/>
            </w:pPr>
            <w:r>
              <w:rPr>
                <w:rFonts w:ascii="Calibri" w:hAnsi="Calibri"/>
                <w:color w:val="404040"/>
                <w:sz w:val="17"/>
              </w:rPr>
              <w:t>R² (5-fold CV)</w:t>
            </w:r>
          </w:p>
        </w:tc>
        <w:tc>
          <w:tcPr>
            <w:tcW w:type="dxa" w:w="1701"/>
            <w:shd w:val="clear" w:color="auto" w:fill="FFFFFF"/>
            <w:vAlign w:val="center"/>
          </w:tcPr>
          <w:p>
            <w:pPr>
              <w:spacing w:before="40" w:after="40"/>
            </w:pPr>
            <w:r>
              <w:rPr>
                <w:rFonts w:ascii="Calibri" w:hAnsi="Calibri"/>
                <w:color w:val="404040"/>
                <w:sz w:val="17"/>
              </w:rPr>
              <w:t>0.847</w:t>
            </w:r>
          </w:p>
        </w:tc>
        <w:tc>
          <w:tcPr>
            <w:tcW w:type="dxa" w:w="1701"/>
            <w:shd w:val="clear" w:color="auto" w:fill="FFFFFF"/>
            <w:vAlign w:val="center"/>
          </w:tcPr>
          <w:p>
            <w:pPr>
              <w:spacing w:before="40" w:after="40"/>
            </w:pPr>
            <w:r>
              <w:rPr>
                <w:rFonts w:ascii="Calibri" w:hAnsi="Calibri"/>
                <w:color w:val="404040"/>
                <w:sz w:val="17"/>
              </w:rPr>
              <w:t>0.643</w:t>
            </w:r>
          </w:p>
        </w:tc>
        <w:tc>
          <w:tcPr>
            <w:tcW w:type="dxa" w:w="4025"/>
            <w:shd w:val="clear" w:color="auto" w:fill="FFFFFF"/>
            <w:vAlign w:val="center"/>
          </w:tcPr>
          <w:p>
            <w:pPr>
              <w:spacing w:before="40" w:after="40"/>
            </w:pPr>
            <w:r>
              <w:rPr>
                <w:rFonts w:ascii="Calibri" w:hAnsi="Calibri"/>
                <w:color w:val="404040"/>
                <w:sz w:val="17"/>
              </w:rPr>
              <w:t>+31.7%</w:t>
            </w:r>
          </w:p>
        </w:tc>
      </w:tr>
      <w:tr>
        <w:tc>
          <w:tcPr>
            <w:tcW w:type="dxa" w:w="1984"/>
            <w:shd w:val="clear" w:color="auto" w:fill="DDEAF7"/>
            <w:vAlign w:val="center"/>
          </w:tcPr>
          <w:p>
            <w:pPr>
              <w:spacing w:before="40" w:after="40"/>
            </w:pPr>
            <w:r>
              <w:rPr>
                <w:rFonts w:ascii="Calibri" w:hAnsi="Calibri"/>
                <w:color w:val="404040"/>
                <w:sz w:val="17"/>
              </w:rPr>
              <w:t>Features principales</w:t>
            </w:r>
          </w:p>
        </w:tc>
        <w:tc>
          <w:tcPr>
            <w:tcW w:type="dxa" w:w="1701"/>
            <w:shd w:val="clear" w:color="auto" w:fill="DDEAF7"/>
            <w:vAlign w:val="center"/>
          </w:tcPr>
          <w:p>
            <w:pPr>
              <w:spacing w:before="40" w:after="40"/>
            </w:pPr>
            <w:r>
              <w:rPr>
                <w:rFonts w:ascii="Calibri" w:hAnsi="Calibri"/>
                <w:color w:val="404040"/>
                <w:sz w:val="17"/>
              </w:rPr>
              <w:t>sin/cos DOY, lags ETo 1-7d, T_max</w:t>
            </w:r>
          </w:p>
        </w:tc>
        <w:tc>
          <w:tcPr>
            <w:tcW w:type="dxa" w:w="1701"/>
            <w:shd w:val="clear" w:color="auto" w:fill="DDEAF7"/>
            <w:vAlign w:val="center"/>
          </w:tcPr>
          <w:p>
            <w:pPr>
              <w:spacing w:before="40" w:after="40"/>
            </w:pPr>
            <w:r>
              <w:rPr>
                <w:rFonts w:ascii="Calibri" w:hAnsi="Calibri"/>
                <w:color w:val="404040"/>
                <w:sz w:val="17"/>
              </w:rPr>
              <w:t>solo media histórica</w:t>
            </w:r>
          </w:p>
        </w:tc>
        <w:tc>
          <w:tcPr>
            <w:tcW w:type="dxa" w:w="4025"/>
            <w:shd w:val="clear" w:color="auto" w:fill="DDEAF7"/>
            <w:vAlign w:val="center"/>
          </w:tcPr>
          <w:p>
            <w:pPr>
              <w:spacing w:before="40" w:after="40"/>
            </w:pPr>
            <w:r>
              <w:rPr>
                <w:rFonts w:ascii="Calibri" w:hAnsi="Calibri"/>
                <w:color w:val="404040"/>
                <w:sz w:val="17"/>
              </w:rPr>
              <w:t>—</w:t>
            </w:r>
          </w:p>
        </w:tc>
      </w:tr>
    </w:tbl>
    <w:p>
      <w:pPr>
        <w:spacing w:after="60"/>
      </w:pPr>
    </w:p>
    <w:p>
      <w:pPr>
        <w:spacing w:after="60" w:before="0"/>
      </w:pPr>
      <w:r>
        <w:rPr>
          <w:rFonts w:ascii="Calibri" w:hAnsi="Calibri"/>
          <w:b w:val="0"/>
          <w:i/>
          <w:color w:val="404040"/>
          <w:sz w:val="18"/>
        </w:rPr>
        <w:t>Fallback automático a media 14 días si &lt;60 registros históricos para la parcela. El forecast activa la sección "Proyección 7 días" del tab Riego en el frontend.</w:t>
      </w:r>
    </w:p>
    <w:p>
      <w:pPr>
        <w:pStyle w:val="Heading2"/>
        <w:pBdr>
          <w:bottom w:val="single" w:sz="4" w:space="1" w:color="2E75B6"/>
        </w:pBdr>
      </w:pPr>
      <w:r>
        <w:t>8.3  XGBoost M1 + M2 — Feature Engineering</w:t>
      </w:r>
    </w:p>
    <w:tbl>
      <w:tblPr>
        <w:tblStyle w:val="TableGrid"/>
        <w:tblW w:type="auto" w:w="0"/>
        <w:jc w:val="left"/>
        <w:tblLook w:firstColumn="1" w:firstRow="1" w:lastColumn="0" w:lastRow="0" w:noHBand="0" w:noVBand="1" w:val="04A0"/>
      </w:tblPr>
      <w:tblGrid>
        <w:gridCol w:w="3137"/>
        <w:gridCol w:w="3137"/>
        <w:gridCol w:w="3137"/>
      </w:tblGrid>
      <w:tr>
        <w:tc>
          <w:tcPr>
            <w:tcW w:type="dxa" w:w="2268"/>
            <w:shd w:val="clear" w:color="auto" w:fill="1F497D"/>
            <w:vAlign w:val="center"/>
          </w:tcPr>
          <w:p>
            <w:pPr>
              <w:spacing w:before="40" w:after="40"/>
            </w:pPr>
            <w:r>
              <w:rPr>
                <w:rFonts w:ascii="Calibri" w:hAnsi="Calibri"/>
                <w:b/>
                <w:color w:val="FFFFFF"/>
                <w:sz w:val="17"/>
              </w:rPr>
              <w:t>Feature derivada</w:t>
            </w:r>
          </w:p>
        </w:tc>
        <w:tc>
          <w:tcPr>
            <w:tcW w:type="dxa" w:w="1984"/>
            <w:shd w:val="clear" w:color="auto" w:fill="1F497D"/>
            <w:vAlign w:val="center"/>
          </w:tcPr>
          <w:p>
            <w:pPr>
              <w:spacing w:before="40" w:after="40"/>
            </w:pPr>
            <w:r>
              <w:rPr>
                <w:rFonts w:ascii="Calibri" w:hAnsi="Calibri"/>
                <w:b/>
                <w:color w:val="FFFFFF"/>
                <w:sz w:val="17"/>
              </w:rPr>
              <w:t>Cálculo</w:t>
            </w:r>
          </w:p>
        </w:tc>
        <w:tc>
          <w:tcPr>
            <w:tcW w:type="dxa" w:w="5159"/>
            <w:shd w:val="clear" w:color="auto" w:fill="1F497D"/>
            <w:vAlign w:val="center"/>
          </w:tcPr>
          <w:p>
            <w:pPr>
              <w:spacing w:before="40" w:after="40"/>
            </w:pPr>
            <w:r>
              <w:rPr>
                <w:rFonts w:ascii="Calibri" w:hAnsi="Calibri"/>
                <w:b/>
                <w:color w:val="FFFFFF"/>
                <w:sz w:val="17"/>
              </w:rPr>
              <w:t>Fundamento agronómico</w:t>
            </w:r>
          </w:p>
        </w:tc>
      </w:tr>
      <w:tr>
        <w:tc>
          <w:tcPr>
            <w:tcW w:type="dxa" w:w="2268"/>
            <w:shd w:val="clear" w:color="auto" w:fill="FFFFFF"/>
            <w:vAlign w:val="center"/>
          </w:tcPr>
          <w:p>
            <w:pPr>
              <w:spacing w:before="40" w:after="40"/>
            </w:pPr>
            <w:r>
              <w:rPr>
                <w:rFonts w:ascii="Calibri" w:hAnsi="Calibri"/>
                <w:color w:val="404040"/>
                <w:sz w:val="17"/>
              </w:rPr>
              <w:t>deficit_hidrico_acumulado_mm</w:t>
            </w:r>
          </w:p>
        </w:tc>
        <w:tc>
          <w:tcPr>
            <w:tcW w:type="dxa" w:w="1984"/>
            <w:shd w:val="clear" w:color="auto" w:fill="FFFFFF"/>
            <w:vAlign w:val="center"/>
          </w:tcPr>
          <w:p>
            <w:pPr>
              <w:spacing w:before="40" w:after="40"/>
            </w:pPr>
            <w:r>
              <w:rPr>
                <w:rFonts w:ascii="Calibri" w:hAnsi="Calibri"/>
                <w:color w:val="404040"/>
                <w:sz w:val="17"/>
              </w:rPr>
              <w:t>Σ(ETc − lluvia − riego) por período</w:t>
            </w:r>
          </w:p>
        </w:tc>
        <w:tc>
          <w:tcPr>
            <w:tcW w:type="dxa" w:w="5159"/>
            <w:shd w:val="clear" w:color="auto" w:fill="FFFFFF"/>
            <w:vAlign w:val="center"/>
          </w:tcPr>
          <w:p>
            <w:pPr>
              <w:spacing w:before="40" w:after="40"/>
            </w:pPr>
            <w:r>
              <w:rPr>
                <w:rFonts w:ascii="Calibri" w:hAnsi="Calibri"/>
                <w:color w:val="404040"/>
                <w:sz w:val="17"/>
              </w:rPr>
              <w:t>FAO-56: balance hídrico acumulado determina estrés</w:t>
            </w:r>
          </w:p>
        </w:tc>
      </w:tr>
      <w:tr>
        <w:tc>
          <w:tcPr>
            <w:tcW w:type="dxa" w:w="2268"/>
            <w:shd w:val="clear" w:color="auto" w:fill="DDEAF7"/>
            <w:vAlign w:val="center"/>
          </w:tcPr>
          <w:p>
            <w:pPr>
              <w:spacing w:before="40" w:after="40"/>
            </w:pPr>
            <w:r>
              <w:rPr>
                <w:rFonts w:ascii="Calibri" w:hAnsi="Calibri"/>
                <w:color w:val="404040"/>
                <w:sz w:val="17"/>
              </w:rPr>
              <w:t>eficiencia_riego_pct</w:t>
            </w:r>
          </w:p>
        </w:tc>
        <w:tc>
          <w:tcPr>
            <w:tcW w:type="dxa" w:w="1984"/>
            <w:shd w:val="clear" w:color="auto" w:fill="DDEAF7"/>
            <w:vAlign w:val="center"/>
          </w:tcPr>
          <w:p>
            <w:pPr>
              <w:spacing w:before="40" w:after="40"/>
            </w:pPr>
            <w:r>
              <w:rPr>
                <w:rFonts w:ascii="Calibri" w:hAnsi="Calibri"/>
                <w:color w:val="404040"/>
                <w:sz w:val="17"/>
              </w:rPr>
              <w:t>m³_aprovechado / m³_aplicado × 100</w:t>
            </w:r>
          </w:p>
        </w:tc>
        <w:tc>
          <w:tcPr>
            <w:tcW w:type="dxa" w:w="5159"/>
            <w:shd w:val="clear" w:color="auto" w:fill="DDEAF7"/>
            <w:vAlign w:val="center"/>
          </w:tcPr>
          <w:p>
            <w:pPr>
              <w:spacing w:before="40" w:after="40"/>
            </w:pPr>
            <w:r>
              <w:rPr>
                <w:rFonts w:ascii="Calibri" w:hAnsi="Calibri"/>
                <w:color w:val="404040"/>
                <w:sz w:val="17"/>
              </w:rPr>
              <w:t>Goteo ~90%, gravedad ~55% — impacto directo en consumo</w:t>
            </w:r>
          </w:p>
        </w:tc>
      </w:tr>
      <w:tr>
        <w:tc>
          <w:tcPr>
            <w:tcW w:type="dxa" w:w="2268"/>
            <w:shd w:val="clear" w:color="auto" w:fill="FFFFFF"/>
            <w:vAlign w:val="center"/>
          </w:tcPr>
          <w:p>
            <w:pPr>
              <w:spacing w:before="40" w:after="40"/>
            </w:pPr>
            <w:r>
              <w:rPr>
                <w:rFonts w:ascii="Calibri" w:hAnsi="Calibri"/>
                <w:color w:val="404040"/>
                <w:sz w:val="17"/>
              </w:rPr>
              <w:t>deficit_relativo_ky</w:t>
            </w:r>
          </w:p>
        </w:tc>
        <w:tc>
          <w:tcPr>
            <w:tcW w:type="dxa" w:w="1984"/>
            <w:shd w:val="clear" w:color="auto" w:fill="FFFFFF"/>
            <w:vAlign w:val="center"/>
          </w:tcPr>
          <w:p>
            <w:pPr>
              <w:spacing w:before="40" w:after="40"/>
            </w:pPr>
            <w:r>
              <w:rPr>
                <w:rFonts w:ascii="Calibri" w:hAnsi="Calibri"/>
                <w:color w:val="404040"/>
                <w:sz w:val="17"/>
              </w:rPr>
              <w:t>(1 − ETc_real/ETc_potencial) × Ky_cultivo</w:t>
            </w:r>
          </w:p>
        </w:tc>
        <w:tc>
          <w:tcPr>
            <w:tcW w:type="dxa" w:w="5159"/>
            <w:shd w:val="clear" w:color="auto" w:fill="FFFFFF"/>
            <w:vAlign w:val="center"/>
          </w:tcPr>
          <w:p>
            <w:pPr>
              <w:spacing w:before="40" w:after="40"/>
            </w:pPr>
            <w:r>
              <w:rPr>
                <w:rFonts w:ascii="Calibri" w:hAnsi="Calibri"/>
                <w:color w:val="404040"/>
                <w:sz w:val="17"/>
              </w:rPr>
              <w:t>FAO-33 (Stewart 1977): rendimiento proporcional al déficit × Ky</w:t>
            </w:r>
          </w:p>
        </w:tc>
      </w:tr>
      <w:tr>
        <w:tc>
          <w:tcPr>
            <w:tcW w:type="dxa" w:w="2268"/>
            <w:shd w:val="clear" w:color="auto" w:fill="DDEAF7"/>
            <w:vAlign w:val="center"/>
          </w:tcPr>
          <w:p>
            <w:pPr>
              <w:spacing w:before="40" w:after="40"/>
            </w:pPr>
            <w:r>
              <w:rPr>
                <w:rFonts w:ascii="Calibri" w:hAnsi="Calibri"/>
                <w:color w:val="404040"/>
                <w:sz w:val="17"/>
              </w:rPr>
              <w:t>etapa_critica_estres_flag</w:t>
            </w:r>
          </w:p>
        </w:tc>
        <w:tc>
          <w:tcPr>
            <w:tcW w:type="dxa" w:w="1984"/>
            <w:shd w:val="clear" w:color="auto" w:fill="DDEAF7"/>
            <w:vAlign w:val="center"/>
          </w:tcPr>
          <w:p>
            <w:pPr>
              <w:spacing w:before="40" w:after="40"/>
            </w:pPr>
            <w:r>
              <w:rPr>
                <w:rFonts w:ascii="Calibri" w:hAnsi="Calibri"/>
                <w:color w:val="404040"/>
                <w:sz w:val="17"/>
              </w:rPr>
              <w:t>1 si estrés ocurre en floración/llenado de grano</w:t>
            </w:r>
          </w:p>
        </w:tc>
        <w:tc>
          <w:tcPr>
            <w:tcW w:type="dxa" w:w="5159"/>
            <w:shd w:val="clear" w:color="auto" w:fill="DDEAF7"/>
            <w:vAlign w:val="center"/>
          </w:tcPr>
          <w:p>
            <w:pPr>
              <w:spacing w:before="40" w:after="40"/>
            </w:pPr>
            <w:r>
              <w:rPr>
                <w:rFonts w:ascii="Calibri" w:hAnsi="Calibri"/>
                <w:color w:val="404040"/>
                <w:sz w:val="17"/>
              </w:rPr>
              <w:t>Etapas más sensibles según FAO-56 Tabla 12 por cultivo</w:t>
            </w:r>
          </w:p>
        </w:tc>
      </w:tr>
      <w:tr>
        <w:tc>
          <w:tcPr>
            <w:tcW w:type="dxa" w:w="2268"/>
            <w:shd w:val="clear" w:color="auto" w:fill="FFFFFF"/>
            <w:vAlign w:val="center"/>
          </w:tcPr>
          <w:p>
            <w:pPr>
              <w:spacing w:before="40" w:after="40"/>
            </w:pPr>
            <w:r>
              <w:rPr>
                <w:rFonts w:ascii="Calibri" w:hAnsi="Calibri"/>
                <w:color w:val="404040"/>
                <w:sz w:val="17"/>
              </w:rPr>
              <w:t>doy_sin, doy_cos</w:t>
            </w:r>
          </w:p>
        </w:tc>
        <w:tc>
          <w:tcPr>
            <w:tcW w:type="dxa" w:w="1984"/>
            <w:shd w:val="clear" w:color="auto" w:fill="FFFFFF"/>
            <w:vAlign w:val="center"/>
          </w:tcPr>
          <w:p>
            <w:pPr>
              <w:spacing w:before="40" w:after="40"/>
            </w:pPr>
            <w:r>
              <w:rPr>
                <w:rFonts w:ascii="Calibri" w:hAnsi="Calibri"/>
                <w:color w:val="404040"/>
                <w:sz w:val="17"/>
              </w:rPr>
              <w:t>sin(2π·DOY/365), cos(2π·DOY/365)</w:t>
            </w:r>
          </w:p>
        </w:tc>
        <w:tc>
          <w:tcPr>
            <w:tcW w:type="dxa" w:w="5159"/>
            <w:shd w:val="clear" w:color="auto" w:fill="FFFFFF"/>
            <w:vAlign w:val="center"/>
          </w:tcPr>
          <w:p>
            <w:pPr>
              <w:spacing w:before="40" w:after="40"/>
            </w:pPr>
            <w:r>
              <w:rPr>
                <w:rFonts w:ascii="Calibri" w:hAnsi="Calibri"/>
                <w:color w:val="404040"/>
                <w:sz w:val="17"/>
              </w:rPr>
              <w:t>Codificación circular de estacionalidad para Ridge Regression</w:t>
            </w:r>
          </w:p>
        </w:tc>
      </w:tr>
    </w:tbl>
    <w:p>
      <w:pPr>
        <w:spacing w:after="60"/>
      </w:pP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8.1 — SHAP summary plot M1: impacto de features en consumo (m³/ha). Colores rojo/azul = valor alto/bajo de la feature. ]</w:t>
      </w:r>
    </w:p>
    <w:p>
      <w:pPr>
        <w:spacing w:after="80"/>
        <w:jc w:val="center"/>
      </w:pPr>
      <w:r>
        <w:rPr>
          <w:i/>
          <w:color w:val="606060"/>
          <w:sz w:val="16"/>
        </w:rPr>
        <w:t>Beeswarm plot: top 10 features ordenadas por importancia. eficiencia_riego_pct y deficit_hidrico son las más influyentes.</w:t>
      </w: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8.2 — Curvas de aprendizaje M1 y M2: RMSE vs. tamaño de dataset (log scale) ]</w:t>
      </w:r>
    </w:p>
    <w:p>
      <w:pPr>
        <w:spacing w:after="80"/>
        <w:jc w:val="center"/>
      </w:pPr>
      <w:r>
        <w:rPr>
          <w:i/>
          <w:color w:val="606060"/>
          <w:sz w:val="16"/>
        </w:rPr>
        <w:t>Convergencia alrededor de 30,000–50,000 muestras. Gap mínimo entre train/validation = sin overfitting.</w:t>
      </w:r>
    </w:p>
    <w:p>
      <w:pPr>
        <w:pStyle w:val="Heading2"/>
        <w:pBdr>
          <w:bottom w:val="single" w:sz="4" w:space="1" w:color="2E75B6"/>
        </w:pBdr>
      </w:pPr>
      <w:r>
        <w:t>8.4  Isolation Forest — Detección de Anomalías de Riego</w:t>
      </w:r>
    </w:p>
    <w:tbl>
      <w:tblPr>
        <w:tblStyle w:val="TableGrid"/>
        <w:tblW w:type="auto" w:w="0"/>
        <w:jc w:val="left"/>
        <w:tblLook w:firstColumn="1" w:firstRow="1" w:lastColumn="0" w:lastRow="0" w:noHBand="0" w:noVBand="1" w:val="04A0"/>
      </w:tblPr>
      <w:tblGrid>
        <w:gridCol w:w="3137"/>
        <w:gridCol w:w="3137"/>
        <w:gridCol w:w="3137"/>
      </w:tblGrid>
      <w:tr>
        <w:tc>
          <w:tcPr>
            <w:tcW w:type="dxa" w:w="2268"/>
            <w:shd w:val="clear" w:color="auto" w:fill="1F497D"/>
            <w:vAlign w:val="center"/>
          </w:tcPr>
          <w:p>
            <w:pPr>
              <w:spacing w:before="40" w:after="40"/>
            </w:pPr>
            <w:r>
              <w:rPr>
                <w:rFonts w:ascii="Calibri" w:hAnsi="Calibri"/>
                <w:b/>
                <w:color w:val="FFFFFF"/>
                <w:sz w:val="17"/>
              </w:rPr>
              <w:t>Feature agronómica</w:t>
            </w:r>
          </w:p>
        </w:tc>
        <w:tc>
          <w:tcPr>
            <w:tcW w:type="dxa" w:w="2835"/>
            <w:shd w:val="clear" w:color="auto" w:fill="1F497D"/>
            <w:vAlign w:val="center"/>
          </w:tcPr>
          <w:p>
            <w:pPr>
              <w:spacing w:before="40" w:after="40"/>
            </w:pPr>
            <w:r>
              <w:rPr>
                <w:rFonts w:ascii="Calibri" w:hAnsi="Calibri"/>
                <w:b/>
                <w:color w:val="FFFFFF"/>
                <w:sz w:val="17"/>
              </w:rPr>
              <w:t>Descripción</w:t>
            </w:r>
          </w:p>
        </w:tc>
        <w:tc>
          <w:tcPr>
            <w:tcW w:type="dxa" w:w="4309"/>
            <w:shd w:val="clear" w:color="auto" w:fill="1F497D"/>
            <w:vAlign w:val="center"/>
          </w:tcPr>
          <w:p>
            <w:pPr>
              <w:spacing w:before="40" w:after="40"/>
            </w:pPr>
            <w:r>
              <w:rPr>
                <w:rFonts w:ascii="Calibri" w:hAnsi="Calibri"/>
                <w:b/>
                <w:color w:val="FFFFFF"/>
                <w:sz w:val="17"/>
              </w:rPr>
              <w:t>Umbral anomalía</w:t>
            </w:r>
          </w:p>
        </w:tc>
      </w:tr>
      <w:tr>
        <w:tc>
          <w:tcPr>
            <w:tcW w:type="dxa" w:w="2268"/>
            <w:shd w:val="clear" w:color="auto" w:fill="FFFFFF"/>
            <w:vAlign w:val="center"/>
          </w:tcPr>
          <w:p>
            <w:pPr>
              <w:spacing w:before="40" w:after="40"/>
            </w:pPr>
            <w:r>
              <w:rPr>
                <w:rFonts w:ascii="Calibri" w:hAnsi="Calibri"/>
                <w:color w:val="404040"/>
                <w:sz w:val="17"/>
              </w:rPr>
              <w:t>volumen_aplicado_vs_recomendado</w:t>
            </w:r>
          </w:p>
        </w:tc>
        <w:tc>
          <w:tcPr>
            <w:tcW w:type="dxa" w:w="2835"/>
            <w:shd w:val="clear" w:color="auto" w:fill="FFFFFF"/>
            <w:vAlign w:val="center"/>
          </w:tcPr>
          <w:p>
            <w:pPr>
              <w:spacing w:before="40" w:after="40"/>
            </w:pPr>
            <w:r>
              <w:rPr>
                <w:rFonts w:ascii="Calibri" w:hAnsi="Calibri"/>
                <w:color w:val="404040"/>
                <w:sz w:val="17"/>
              </w:rPr>
              <w:t>Ratio riego real / recomendado MILPÍN</w:t>
            </w:r>
          </w:p>
        </w:tc>
        <w:tc>
          <w:tcPr>
            <w:tcW w:type="dxa" w:w="4309"/>
            <w:shd w:val="clear" w:color="auto" w:fill="FFFFFF"/>
            <w:vAlign w:val="center"/>
          </w:tcPr>
          <w:p>
            <w:pPr>
              <w:spacing w:before="40" w:after="40"/>
            </w:pPr>
            <w:r>
              <w:rPr>
                <w:rFonts w:ascii="Calibri" w:hAnsi="Calibri"/>
                <w:color w:val="404040"/>
                <w:sz w:val="17"/>
              </w:rPr>
              <w:t>&gt; 1.3 (sobre) o &lt; 0.5 (sub)</w:t>
            </w:r>
          </w:p>
        </w:tc>
      </w:tr>
      <w:tr>
        <w:tc>
          <w:tcPr>
            <w:tcW w:type="dxa" w:w="2268"/>
            <w:shd w:val="clear" w:color="auto" w:fill="DDEAF7"/>
            <w:vAlign w:val="center"/>
          </w:tcPr>
          <w:p>
            <w:pPr>
              <w:spacing w:before="40" w:after="40"/>
            </w:pPr>
            <w:r>
              <w:rPr>
                <w:rFonts w:ascii="Calibri" w:hAnsi="Calibri"/>
                <w:color w:val="404040"/>
                <w:sz w:val="17"/>
              </w:rPr>
              <w:t>intervalo_promedio_dias</w:t>
            </w:r>
          </w:p>
        </w:tc>
        <w:tc>
          <w:tcPr>
            <w:tcW w:type="dxa" w:w="2835"/>
            <w:shd w:val="clear" w:color="auto" w:fill="DDEAF7"/>
            <w:vAlign w:val="center"/>
          </w:tcPr>
          <w:p>
            <w:pPr>
              <w:spacing w:before="40" w:after="40"/>
            </w:pPr>
            <w:r>
              <w:rPr>
                <w:rFonts w:ascii="Calibri" w:hAnsi="Calibri"/>
                <w:color w:val="404040"/>
                <w:sz w:val="17"/>
              </w:rPr>
              <w:t>Media de días entre riegos en el ciclo</w:t>
            </w:r>
          </w:p>
        </w:tc>
        <w:tc>
          <w:tcPr>
            <w:tcW w:type="dxa" w:w="4309"/>
            <w:shd w:val="clear" w:color="auto" w:fill="DDEAF7"/>
            <w:vAlign w:val="center"/>
          </w:tcPr>
          <w:p>
            <w:pPr>
              <w:spacing w:before="40" w:after="40"/>
            </w:pPr>
            <w:r>
              <w:rPr>
                <w:rFonts w:ascii="Calibri" w:hAnsi="Calibri"/>
                <w:color w:val="404040"/>
                <w:sz w:val="17"/>
              </w:rPr>
              <w:t>&lt; 3 o &gt; 21 días</w:t>
            </w:r>
          </w:p>
        </w:tc>
      </w:tr>
      <w:tr>
        <w:tc>
          <w:tcPr>
            <w:tcW w:type="dxa" w:w="2268"/>
            <w:shd w:val="clear" w:color="auto" w:fill="FFFFFF"/>
            <w:vAlign w:val="center"/>
          </w:tcPr>
          <w:p>
            <w:pPr>
              <w:spacing w:before="40" w:after="40"/>
            </w:pPr>
            <w:r>
              <w:rPr>
                <w:rFonts w:ascii="Calibri" w:hAnsi="Calibri"/>
                <w:color w:val="404040"/>
                <w:sz w:val="17"/>
              </w:rPr>
              <w:t>cv_intervalo_riego</w:t>
            </w:r>
          </w:p>
        </w:tc>
        <w:tc>
          <w:tcPr>
            <w:tcW w:type="dxa" w:w="2835"/>
            <w:shd w:val="clear" w:color="auto" w:fill="FFFFFF"/>
            <w:vAlign w:val="center"/>
          </w:tcPr>
          <w:p>
            <w:pPr>
              <w:spacing w:before="40" w:after="40"/>
            </w:pPr>
            <w:r>
              <w:rPr>
                <w:rFonts w:ascii="Calibri" w:hAnsi="Calibri"/>
                <w:color w:val="404040"/>
                <w:sz w:val="17"/>
              </w:rPr>
              <w:t>Coeficiente de variación del intervalo</w:t>
            </w:r>
          </w:p>
        </w:tc>
        <w:tc>
          <w:tcPr>
            <w:tcW w:type="dxa" w:w="4309"/>
            <w:shd w:val="clear" w:color="auto" w:fill="FFFFFF"/>
            <w:vAlign w:val="center"/>
          </w:tcPr>
          <w:p>
            <w:pPr>
              <w:spacing w:before="40" w:after="40"/>
            </w:pPr>
            <w:r>
              <w:rPr>
                <w:rFonts w:ascii="Calibri" w:hAnsi="Calibri"/>
                <w:color w:val="404040"/>
                <w:sz w:val="17"/>
              </w:rPr>
              <w:t>&gt; 0.8 (patrón irregular)</w:t>
            </w:r>
          </w:p>
        </w:tc>
      </w:tr>
      <w:tr>
        <w:tc>
          <w:tcPr>
            <w:tcW w:type="dxa" w:w="2268"/>
            <w:shd w:val="clear" w:color="auto" w:fill="DDEAF7"/>
            <w:vAlign w:val="center"/>
          </w:tcPr>
          <w:p>
            <w:pPr>
              <w:spacing w:before="40" w:after="40"/>
            </w:pPr>
            <w:r>
              <w:rPr>
                <w:rFonts w:ascii="Calibri" w:hAnsi="Calibri"/>
                <w:color w:val="404040"/>
                <w:sz w:val="17"/>
              </w:rPr>
              <w:t>deficit_acumulado_mm</w:t>
            </w:r>
          </w:p>
        </w:tc>
        <w:tc>
          <w:tcPr>
            <w:tcW w:type="dxa" w:w="2835"/>
            <w:shd w:val="clear" w:color="auto" w:fill="DDEAF7"/>
            <w:vAlign w:val="center"/>
          </w:tcPr>
          <w:p>
            <w:pPr>
              <w:spacing w:before="40" w:after="40"/>
            </w:pPr>
            <w:r>
              <w:rPr>
                <w:rFonts w:ascii="Calibri" w:hAnsi="Calibri"/>
                <w:color w:val="404040"/>
                <w:sz w:val="17"/>
              </w:rPr>
              <w:t>Déficit hídrico al momento de regar</w:t>
            </w:r>
          </w:p>
        </w:tc>
        <w:tc>
          <w:tcPr>
            <w:tcW w:type="dxa" w:w="4309"/>
            <w:shd w:val="clear" w:color="auto" w:fill="DDEAF7"/>
            <w:vAlign w:val="center"/>
          </w:tcPr>
          <w:p>
            <w:pPr>
              <w:spacing w:before="40" w:after="40"/>
            </w:pPr>
            <w:r>
              <w:rPr>
                <w:rFonts w:ascii="Calibri" w:hAnsi="Calibri"/>
                <w:color w:val="404040"/>
                <w:sz w:val="17"/>
              </w:rPr>
              <w:t>&gt; CC − PMP (saturación virtual)</w:t>
            </w:r>
          </w:p>
        </w:tc>
      </w:tr>
    </w:tbl>
    <w:p>
      <w:pPr>
        <w:spacing w:after="60"/>
      </w:pPr>
    </w:p>
    <w:p>
      <w:pPr>
        <w:pStyle w:val="Heading1"/>
        <w:shd w:val="clear" w:color="auto" w:fill="1F497D"/>
      </w:pPr>
      <w:r>
        <w:rPr>
          <w:b/>
          <w:color w:val="FFFFFF"/>
        </w:rPr>
        <w:t>IX.  Resultados, Validación y Deuda Técnica</w:t>
      </w:r>
    </w:p>
    <w:p>
      <w:pPr>
        <w:pStyle w:val="Heading2"/>
        <w:pBdr>
          <w:bottom w:val="single" w:sz="4" w:space="1" w:color="2E75B6"/>
        </w:pBdr>
      </w:pPr>
      <w:r>
        <w:t>9.1  Suite de 77 Tests Automatizados</w:t>
      </w:r>
    </w:p>
    <w:tbl>
      <w:tblPr>
        <w:tblStyle w:val="TableGrid"/>
        <w:tblW w:type="auto" w:w="0"/>
        <w:jc w:val="left"/>
        <w:tblLook w:firstColumn="1" w:firstRow="1" w:lastColumn="0" w:lastRow="0" w:noHBand="0" w:noVBand="1" w:val="04A0"/>
      </w:tblPr>
      <w:tblGrid>
        <w:gridCol w:w="3137"/>
        <w:gridCol w:w="3137"/>
        <w:gridCol w:w="3137"/>
      </w:tblGrid>
      <w:tr>
        <w:tc>
          <w:tcPr>
            <w:tcW w:type="dxa" w:w="2268"/>
            <w:shd w:val="clear" w:color="auto" w:fill="1F497D"/>
            <w:vAlign w:val="center"/>
          </w:tcPr>
          <w:p>
            <w:pPr>
              <w:spacing w:before="40" w:after="40"/>
            </w:pPr>
            <w:r>
              <w:rPr>
                <w:rFonts w:ascii="Calibri" w:hAnsi="Calibri"/>
                <w:b/>
                <w:color w:val="FFFFFF"/>
                <w:sz w:val="17"/>
              </w:rPr>
              <w:t>Categoría</w:t>
            </w:r>
          </w:p>
        </w:tc>
        <w:tc>
          <w:tcPr>
            <w:tcW w:type="dxa" w:w="737"/>
            <w:shd w:val="clear" w:color="auto" w:fill="1F497D"/>
            <w:vAlign w:val="center"/>
          </w:tcPr>
          <w:p>
            <w:pPr>
              <w:spacing w:before="40" w:after="40"/>
            </w:pPr>
            <w:r>
              <w:rPr>
                <w:rFonts w:ascii="Calibri" w:hAnsi="Calibri"/>
                <w:b/>
                <w:color w:val="FFFFFF"/>
                <w:sz w:val="17"/>
              </w:rPr>
              <w:t>Tests</w:t>
            </w:r>
          </w:p>
        </w:tc>
        <w:tc>
          <w:tcPr>
            <w:tcW w:type="dxa" w:w="6406"/>
            <w:shd w:val="clear" w:color="auto" w:fill="1F497D"/>
            <w:vAlign w:val="center"/>
          </w:tcPr>
          <w:p>
            <w:pPr>
              <w:spacing w:before="40" w:after="40"/>
            </w:pPr>
            <w:r>
              <w:rPr>
                <w:rFonts w:ascii="Calibri" w:hAnsi="Calibri"/>
                <w:b/>
                <w:color w:val="FFFFFF"/>
                <w:sz w:val="17"/>
              </w:rPr>
              <w:t>Qué valida</w:t>
            </w:r>
          </w:p>
        </w:tc>
      </w:tr>
      <w:tr>
        <w:tc>
          <w:tcPr>
            <w:tcW w:type="dxa" w:w="2268"/>
            <w:shd w:val="clear" w:color="auto" w:fill="FFFFFF"/>
            <w:vAlign w:val="center"/>
          </w:tcPr>
          <w:p>
            <w:pPr>
              <w:spacing w:before="40" w:after="40"/>
            </w:pPr>
            <w:r>
              <w:rPr>
                <w:rFonts w:ascii="Calibri" w:hAnsi="Calibri"/>
                <w:color w:val="404040"/>
                <w:sz w:val="17"/>
              </w:rPr>
              <w:t>Unitarios FAO-56</w:t>
            </w:r>
          </w:p>
        </w:tc>
        <w:tc>
          <w:tcPr>
            <w:tcW w:type="dxa" w:w="737"/>
            <w:shd w:val="clear" w:color="auto" w:fill="FFFFFF"/>
            <w:vAlign w:val="center"/>
          </w:tcPr>
          <w:p>
            <w:pPr>
              <w:spacing w:before="40" w:after="40"/>
            </w:pPr>
            <w:r>
              <w:rPr>
                <w:rFonts w:ascii="Calibri" w:hAnsi="Calibri"/>
                <w:color w:val="404040"/>
                <w:sz w:val="17"/>
              </w:rPr>
              <w:t>42</w:t>
            </w:r>
          </w:p>
        </w:tc>
        <w:tc>
          <w:tcPr>
            <w:tcW w:type="dxa" w:w="6406"/>
            <w:shd w:val="clear" w:color="auto" w:fill="FFFFFF"/>
            <w:vAlign w:val="center"/>
          </w:tcPr>
          <w:p>
            <w:pPr>
              <w:spacing w:before="40" w:after="40"/>
            </w:pPr>
            <w:r>
              <w:rPr>
                <w:rFonts w:ascii="Calibri" w:hAnsi="Calibri"/>
                <w:color w:val="404040"/>
                <w:sz w:val="17"/>
              </w:rPr>
              <w:t>ETo contra valores tabulados Allen 1998; ETc por cultivo y etapa fenológica</w:t>
            </w:r>
          </w:p>
        </w:tc>
      </w:tr>
      <w:tr>
        <w:tc>
          <w:tcPr>
            <w:tcW w:type="dxa" w:w="2268"/>
            <w:shd w:val="clear" w:color="auto" w:fill="DDEAF7"/>
            <w:vAlign w:val="center"/>
          </w:tcPr>
          <w:p>
            <w:pPr>
              <w:spacing w:before="40" w:after="40"/>
            </w:pPr>
            <w:r>
              <w:rPr>
                <w:rFonts w:ascii="Calibri" w:hAnsi="Calibri"/>
                <w:color w:val="404040"/>
                <w:sz w:val="17"/>
              </w:rPr>
              <w:t>Integración e2e</w:t>
            </w:r>
          </w:p>
        </w:tc>
        <w:tc>
          <w:tcPr>
            <w:tcW w:type="dxa" w:w="737"/>
            <w:shd w:val="clear" w:color="auto" w:fill="DDEAF7"/>
            <w:vAlign w:val="center"/>
          </w:tcPr>
          <w:p>
            <w:pPr>
              <w:spacing w:before="40" w:after="40"/>
            </w:pPr>
            <w:r>
              <w:rPr>
                <w:rFonts w:ascii="Calibri" w:hAnsi="Calibri"/>
                <w:color w:val="404040"/>
                <w:sz w:val="17"/>
              </w:rPr>
              <w:t>35</w:t>
            </w:r>
          </w:p>
        </w:tc>
        <w:tc>
          <w:tcPr>
            <w:tcW w:type="dxa" w:w="6406"/>
            <w:shd w:val="clear" w:color="auto" w:fill="DDEAF7"/>
            <w:vAlign w:val="center"/>
          </w:tcPr>
          <w:p>
            <w:pPr>
              <w:spacing w:before="40" w:after="40"/>
            </w:pPr>
            <w:r>
              <w:rPr>
                <w:rFonts w:ascii="Calibri" w:hAnsi="Calibri"/>
                <w:color w:val="404040"/>
                <w:sz w:val="17"/>
              </w:rPr>
              <w:t>Endpoints con AsyncClient; BD SQLite en memoria; flujos completos</w:t>
            </w:r>
          </w:p>
        </w:tc>
      </w:tr>
      <w:tr>
        <w:tc>
          <w:tcPr>
            <w:tcW w:type="dxa" w:w="2268"/>
            <w:shd w:val="clear" w:color="auto" w:fill="FFFFFF"/>
            <w:vAlign w:val="center"/>
          </w:tcPr>
          <w:p>
            <w:pPr>
              <w:spacing w:before="40" w:after="40"/>
            </w:pPr>
            <w:r>
              <w:rPr>
                <w:rFonts w:ascii="Calibri" w:hAnsi="Calibri"/>
                <w:color w:val="404040"/>
                <w:sz w:val="17"/>
              </w:rPr>
              <w:t>TestFeedbackLoop</w:t>
            </w:r>
          </w:p>
        </w:tc>
        <w:tc>
          <w:tcPr>
            <w:tcW w:type="dxa" w:w="737"/>
            <w:shd w:val="clear" w:color="auto" w:fill="FFFFFF"/>
            <w:vAlign w:val="center"/>
          </w:tcPr>
          <w:p>
            <w:pPr>
              <w:spacing w:before="40" w:after="40"/>
            </w:pPr>
            <w:r>
              <w:rPr>
                <w:rFonts w:ascii="Calibri" w:hAnsi="Calibri"/>
                <w:color w:val="404040"/>
                <w:sz w:val="17"/>
              </w:rPr>
              <w:t>7</w:t>
            </w:r>
          </w:p>
        </w:tc>
        <w:tc>
          <w:tcPr>
            <w:tcW w:type="dxa" w:w="6406"/>
            <w:shd w:val="clear" w:color="auto" w:fill="FFFFFF"/>
            <w:vAlign w:val="center"/>
          </w:tcPr>
          <w:p>
            <w:pPr>
              <w:spacing w:before="40" w:after="40"/>
            </w:pPr>
            <w:r>
              <w:rPr>
                <w:rFonts w:ascii="Calibri" w:hAnsi="Calibri"/>
                <w:color w:val="404040"/>
                <w:sz w:val="17"/>
              </w:rPr>
              <w:t>Loop recomendación→aceptada/modificada→historial_riego (7 casos)</w:t>
            </w:r>
          </w:p>
        </w:tc>
      </w:tr>
      <w:tr>
        <w:tc>
          <w:tcPr>
            <w:tcW w:type="dxa" w:w="2268"/>
            <w:shd w:val="clear" w:color="auto" w:fill="DDEAF7"/>
            <w:vAlign w:val="center"/>
          </w:tcPr>
          <w:p>
            <w:pPr>
              <w:spacing w:before="40" w:after="40"/>
            </w:pPr>
            <w:r>
              <w:rPr>
                <w:rFonts w:ascii="Calibri" w:hAnsi="Calibri"/>
                <w:color w:val="404040"/>
                <w:sz w:val="17"/>
              </w:rPr>
              <w:t>TestPropagar</w:t>
            </w:r>
          </w:p>
        </w:tc>
        <w:tc>
          <w:tcPr>
            <w:tcW w:type="dxa" w:w="737"/>
            <w:shd w:val="clear" w:color="auto" w:fill="DDEAF7"/>
            <w:vAlign w:val="center"/>
          </w:tcPr>
          <w:p>
            <w:pPr>
              <w:spacing w:before="40" w:after="40"/>
            </w:pPr>
            <w:r>
              <w:rPr>
                <w:rFonts w:ascii="Calibri" w:hAnsi="Calibri"/>
                <w:color w:val="404040"/>
                <w:sz w:val="17"/>
              </w:rPr>
              <w:t>9</w:t>
            </w:r>
          </w:p>
        </w:tc>
        <w:tc>
          <w:tcPr>
            <w:tcW w:type="dxa" w:w="6406"/>
            <w:shd w:val="clear" w:color="auto" w:fill="DDEAF7"/>
            <w:vAlign w:val="center"/>
          </w:tcPr>
          <w:p>
            <w:pPr>
              <w:spacing w:before="40" w:after="40"/>
            </w:pPr>
            <w:r>
              <w:rPr>
                <w:rFonts w:ascii="Calibri" w:hAnsi="Calibri"/>
                <w:color w:val="404040"/>
                <w:sz w:val="17"/>
              </w:rPr>
              <w:t>propagar_balance_hidrico() — 9 escenarios de humedad inicial y regímenes de riego</w:t>
            </w:r>
          </w:p>
        </w:tc>
      </w:tr>
      <w:tr>
        <w:tc>
          <w:tcPr>
            <w:tcW w:type="dxa" w:w="2268"/>
            <w:shd w:val="clear" w:color="auto" w:fill="FFFFFF"/>
            <w:vAlign w:val="center"/>
          </w:tcPr>
          <w:p>
            <w:pPr>
              <w:spacing w:before="40" w:after="40"/>
            </w:pPr>
            <w:r>
              <w:rPr>
                <w:rFonts w:ascii="Calibri" w:hAnsi="Calibri"/>
                <w:color w:val="404040"/>
                <w:sz w:val="17"/>
              </w:rPr>
              <w:t>ML preprocessing</w:t>
            </w:r>
          </w:p>
        </w:tc>
        <w:tc>
          <w:tcPr>
            <w:tcW w:type="dxa" w:w="737"/>
            <w:shd w:val="clear" w:color="auto" w:fill="FFFFFF"/>
            <w:vAlign w:val="center"/>
          </w:tcPr>
          <w:p>
            <w:pPr>
              <w:spacing w:before="40" w:after="40"/>
            </w:pPr>
            <w:r>
              <w:rPr>
                <w:rFonts w:ascii="Calibri" w:hAnsi="Calibri"/>
                <w:color w:val="404040"/>
                <w:sz w:val="17"/>
              </w:rPr>
              <w:t>5</w:t>
            </w:r>
          </w:p>
        </w:tc>
        <w:tc>
          <w:tcPr>
            <w:tcW w:type="dxa" w:w="6406"/>
            <w:shd w:val="clear" w:color="auto" w:fill="FFFFFF"/>
            <w:vAlign w:val="center"/>
          </w:tcPr>
          <w:p>
            <w:pPr>
              <w:spacing w:before="40" w:after="40"/>
            </w:pPr>
            <w:r>
              <w:rPr>
                <w:rFonts w:ascii="Calibri" w:hAnsi="Calibri"/>
                <w:color w:val="404040"/>
                <w:sz w:val="17"/>
              </w:rPr>
              <w:t>feature_preprocessor.py: tipos, rangos, imputación de faltantes</w:t>
            </w:r>
          </w:p>
        </w:tc>
      </w:tr>
      <w:tr>
        <w:tc>
          <w:tcPr>
            <w:tcW w:type="dxa" w:w="2268"/>
            <w:shd w:val="clear" w:color="auto" w:fill="DDEAF7"/>
            <w:vAlign w:val="center"/>
          </w:tcPr>
          <w:p>
            <w:pPr>
              <w:spacing w:before="40" w:after="40"/>
            </w:pPr>
            <w:r>
              <w:rPr>
                <w:rFonts w:ascii="Calibri" w:hAnsi="Calibri"/>
                <w:color w:val="404040"/>
                <w:sz w:val="17"/>
              </w:rPr>
              <w:t>Drift + promote gate</w:t>
            </w:r>
          </w:p>
        </w:tc>
        <w:tc>
          <w:tcPr>
            <w:tcW w:type="dxa" w:w="737"/>
            <w:shd w:val="clear" w:color="auto" w:fill="DDEAF7"/>
            <w:vAlign w:val="center"/>
          </w:tcPr>
          <w:p>
            <w:pPr>
              <w:spacing w:before="40" w:after="40"/>
            </w:pPr>
            <w:r>
              <w:rPr>
                <w:rFonts w:ascii="Calibri" w:hAnsi="Calibri"/>
                <w:color w:val="404040"/>
                <w:sz w:val="17"/>
              </w:rPr>
              <w:t>6</w:t>
            </w:r>
          </w:p>
        </w:tc>
        <w:tc>
          <w:tcPr>
            <w:tcW w:type="dxa" w:w="6406"/>
            <w:shd w:val="clear" w:color="auto" w:fill="DDEAF7"/>
            <w:vAlign w:val="center"/>
          </w:tcPr>
          <w:p>
            <w:pPr>
              <w:spacing w:before="40" w:after="40"/>
            </w:pPr>
            <w:r>
              <w:rPr>
                <w:rFonts w:ascii="Calibri" w:hAnsi="Calibri"/>
                <w:color w:val="404040"/>
                <w:sz w:val="17"/>
              </w:rPr>
              <w:t>PSI, KS — umbrales YAML; gate bloquea regresión de métricas ML</w:t>
            </w:r>
          </w:p>
        </w:tc>
      </w:tr>
    </w:tbl>
    <w:p>
      <w:pPr>
        <w:spacing w:after="60"/>
      </w:pPr>
    </w:p>
    <w:p>
      <w:pPr>
        <w:pStyle w:val="Heading2"/>
        <w:pBdr>
          <w:bottom w:val="single" w:sz="4" w:space="1" w:color="2E75B6"/>
        </w:pBdr>
      </w:pPr>
      <w:r>
        <w:t>9.2  Comparación de Estrategias de Riego — Maíz Ciclo PV Módulo 3</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2835"/>
            <w:shd w:val="clear" w:color="auto" w:fill="1F497D"/>
            <w:vAlign w:val="center"/>
          </w:tcPr>
          <w:p>
            <w:pPr>
              <w:spacing w:before="40" w:after="40"/>
            </w:pPr>
            <w:r>
              <w:rPr>
                <w:rFonts w:ascii="Calibri" w:hAnsi="Calibri"/>
                <w:b/>
                <w:color w:val="FFFFFF"/>
                <w:sz w:val="17"/>
              </w:rPr>
              <w:t>Estrategia</w:t>
            </w:r>
          </w:p>
        </w:tc>
        <w:tc>
          <w:tcPr>
            <w:tcW w:type="dxa" w:w="1701"/>
            <w:shd w:val="clear" w:color="auto" w:fill="1F497D"/>
            <w:vAlign w:val="center"/>
          </w:tcPr>
          <w:p>
            <w:pPr>
              <w:spacing w:before="40" w:after="40"/>
            </w:pPr>
            <w:r>
              <w:rPr>
                <w:rFonts w:ascii="Calibri" w:hAnsi="Calibri"/>
                <w:b/>
                <w:color w:val="FFFFFF"/>
                <w:sz w:val="17"/>
              </w:rPr>
              <w:t>Consumo (m³/ha)</w:t>
            </w:r>
          </w:p>
        </w:tc>
        <w:tc>
          <w:tcPr>
            <w:tcW w:type="dxa" w:w="1701"/>
            <w:shd w:val="clear" w:color="auto" w:fill="1F497D"/>
            <w:vAlign w:val="center"/>
          </w:tcPr>
          <w:p>
            <w:pPr>
              <w:spacing w:before="40" w:after="40"/>
            </w:pPr>
            <w:r>
              <w:rPr>
                <w:rFonts w:ascii="Calibri" w:hAnsi="Calibri"/>
                <w:b/>
                <w:color w:val="FFFFFF"/>
                <w:sz w:val="17"/>
              </w:rPr>
              <w:t>Costo energético</w:t>
            </w:r>
          </w:p>
        </w:tc>
        <w:tc>
          <w:tcPr>
            <w:tcW w:type="dxa" w:w="1417"/>
            <w:shd w:val="clear" w:color="auto" w:fill="1F497D"/>
            <w:vAlign w:val="center"/>
          </w:tcPr>
          <w:p>
            <w:pPr>
              <w:spacing w:before="40" w:after="40"/>
            </w:pPr>
            <w:r>
              <w:rPr>
                <w:rFonts w:ascii="Calibri" w:hAnsi="Calibri"/>
                <w:b/>
                <w:color w:val="FFFFFF"/>
                <w:sz w:val="17"/>
              </w:rPr>
              <w:t>Rendimiento</w:t>
            </w:r>
          </w:p>
        </w:tc>
        <w:tc>
          <w:tcPr>
            <w:tcW w:type="dxa" w:w="1757"/>
            <w:shd w:val="clear" w:color="auto" w:fill="1F497D"/>
            <w:vAlign w:val="center"/>
          </w:tcPr>
          <w:p>
            <w:pPr>
              <w:spacing w:before="40" w:after="40"/>
            </w:pPr>
            <w:r>
              <w:rPr>
                <w:rFonts w:ascii="Calibri" w:hAnsi="Calibri"/>
                <w:b/>
                <w:color w:val="FFFFFF"/>
                <w:sz w:val="17"/>
              </w:rPr>
              <w:t>Resultado</w:t>
            </w:r>
          </w:p>
        </w:tc>
      </w:tr>
      <w:tr>
        <w:tc>
          <w:tcPr>
            <w:tcW w:type="dxa" w:w="2835"/>
            <w:shd w:val="clear" w:color="auto" w:fill="FFFFFF"/>
            <w:vAlign w:val="center"/>
          </w:tcPr>
          <w:p>
            <w:pPr>
              <w:spacing w:before="40" w:after="40"/>
            </w:pPr>
            <w:r>
              <w:rPr>
                <w:rFonts w:ascii="Calibri" w:hAnsi="Calibri"/>
                <w:color w:val="404040"/>
                <w:sz w:val="17"/>
              </w:rPr>
              <w:t>Riego empírico tradicional</w:t>
            </w:r>
          </w:p>
        </w:tc>
        <w:tc>
          <w:tcPr>
            <w:tcW w:type="dxa" w:w="1701"/>
            <w:shd w:val="clear" w:color="auto" w:fill="FFFFFF"/>
            <w:vAlign w:val="center"/>
          </w:tcPr>
          <w:p>
            <w:pPr>
              <w:spacing w:before="40" w:after="40"/>
            </w:pPr>
            <w:r>
              <w:rPr>
                <w:rFonts w:ascii="Calibri" w:hAnsi="Calibri"/>
                <w:color w:val="404040"/>
                <w:sz w:val="17"/>
              </w:rPr>
              <w:t>8,200</w:t>
            </w:r>
          </w:p>
        </w:tc>
        <w:tc>
          <w:tcPr>
            <w:tcW w:type="dxa" w:w="1701"/>
            <w:shd w:val="clear" w:color="auto" w:fill="FFFFFF"/>
            <w:vAlign w:val="center"/>
          </w:tcPr>
          <w:p>
            <w:pPr>
              <w:spacing w:before="40" w:after="40"/>
            </w:pPr>
            <w:r>
              <w:rPr>
                <w:rFonts w:ascii="Calibri" w:hAnsi="Calibri"/>
                <w:color w:val="404040"/>
                <w:sz w:val="17"/>
              </w:rPr>
              <w:t>$13,776 MXN/ha</w:t>
            </w:r>
          </w:p>
        </w:tc>
        <w:tc>
          <w:tcPr>
            <w:tcW w:type="dxa" w:w="1417"/>
            <w:shd w:val="clear" w:color="auto" w:fill="FFFFFF"/>
            <w:vAlign w:val="center"/>
          </w:tcPr>
          <w:p>
            <w:pPr>
              <w:spacing w:before="40" w:after="40"/>
            </w:pPr>
            <w:r>
              <w:rPr>
                <w:rFonts w:ascii="Calibri" w:hAnsi="Calibri"/>
                <w:color w:val="404040"/>
                <w:sz w:val="17"/>
              </w:rPr>
              <w:t>7.1 ton/ha</w:t>
            </w:r>
          </w:p>
        </w:tc>
        <w:tc>
          <w:tcPr>
            <w:tcW w:type="dxa" w:w="1757"/>
            <w:shd w:val="clear" w:color="auto" w:fill="FFFFFF"/>
            <w:vAlign w:val="center"/>
          </w:tcPr>
          <w:p>
            <w:pPr>
              <w:spacing w:before="40" w:after="40"/>
            </w:pPr>
            <w:r>
              <w:rPr>
                <w:rFonts w:ascii="Calibri" w:hAnsi="Calibri"/>
                <w:color w:val="404040"/>
                <w:sz w:val="17"/>
              </w:rPr>
              <w:t>Sobreirrigación sistemática</w:t>
            </w:r>
          </w:p>
        </w:tc>
      </w:tr>
      <w:tr>
        <w:tc>
          <w:tcPr>
            <w:tcW w:type="dxa" w:w="2835"/>
            <w:shd w:val="clear" w:color="auto" w:fill="DDEAF7"/>
            <w:vAlign w:val="center"/>
          </w:tcPr>
          <w:p>
            <w:pPr>
              <w:spacing w:before="40" w:after="40"/>
            </w:pPr>
            <w:r>
              <w:rPr>
                <w:rFonts w:ascii="Calibri" w:hAnsi="Calibri"/>
                <w:color w:val="404040"/>
                <w:sz w:val="17"/>
              </w:rPr>
              <w:t>MILPÍN FAO-56 recomendado</w:t>
            </w:r>
          </w:p>
        </w:tc>
        <w:tc>
          <w:tcPr>
            <w:tcW w:type="dxa" w:w="1701"/>
            <w:shd w:val="clear" w:color="auto" w:fill="DDEAF7"/>
            <w:vAlign w:val="center"/>
          </w:tcPr>
          <w:p>
            <w:pPr>
              <w:spacing w:before="40" w:after="40"/>
            </w:pPr>
            <w:r>
              <w:rPr>
                <w:rFonts w:ascii="Calibri" w:hAnsi="Calibri"/>
                <w:color w:val="404040"/>
                <w:sz w:val="17"/>
              </w:rPr>
              <w:t>6,100</w:t>
            </w:r>
          </w:p>
        </w:tc>
        <w:tc>
          <w:tcPr>
            <w:tcW w:type="dxa" w:w="1701"/>
            <w:shd w:val="clear" w:color="auto" w:fill="DDEAF7"/>
            <w:vAlign w:val="center"/>
          </w:tcPr>
          <w:p>
            <w:pPr>
              <w:spacing w:before="40" w:after="40"/>
            </w:pPr>
            <w:r>
              <w:rPr>
                <w:rFonts w:ascii="Calibri" w:hAnsi="Calibri"/>
                <w:color w:val="404040"/>
                <w:sz w:val="17"/>
              </w:rPr>
              <w:t>$10,248 MXN/ha</w:t>
            </w:r>
          </w:p>
        </w:tc>
        <w:tc>
          <w:tcPr>
            <w:tcW w:type="dxa" w:w="1417"/>
            <w:shd w:val="clear" w:color="auto" w:fill="DDEAF7"/>
            <w:vAlign w:val="center"/>
          </w:tcPr>
          <w:p>
            <w:pPr>
              <w:spacing w:before="40" w:after="40"/>
            </w:pPr>
            <w:r>
              <w:rPr>
                <w:rFonts w:ascii="Calibri" w:hAnsi="Calibri"/>
                <w:color w:val="404040"/>
                <w:sz w:val="17"/>
              </w:rPr>
              <w:t>7.2 ton/ha</w:t>
            </w:r>
          </w:p>
        </w:tc>
        <w:tc>
          <w:tcPr>
            <w:tcW w:type="dxa" w:w="1757"/>
            <w:shd w:val="clear" w:color="auto" w:fill="DDEAF7"/>
            <w:vAlign w:val="center"/>
          </w:tcPr>
          <w:p>
            <w:pPr>
              <w:spacing w:before="40" w:after="40"/>
            </w:pPr>
            <w:r>
              <w:rPr>
                <w:rFonts w:ascii="Calibri" w:hAnsi="Calibri"/>
                <w:color w:val="404040"/>
                <w:sz w:val="17"/>
              </w:rPr>
              <w:t>Óptimo — sin estrés hídrico</w:t>
            </w:r>
          </w:p>
        </w:tc>
      </w:tr>
      <w:tr>
        <w:tc>
          <w:tcPr>
            <w:tcW w:type="dxa" w:w="2835"/>
            <w:shd w:val="clear" w:color="auto" w:fill="FFFFFF"/>
            <w:vAlign w:val="center"/>
          </w:tcPr>
          <w:p>
            <w:pPr>
              <w:spacing w:before="40" w:after="40"/>
            </w:pPr>
            <w:r>
              <w:rPr>
                <w:rFonts w:ascii="Calibri" w:hAnsi="Calibri"/>
                <w:color w:val="404040"/>
                <w:sz w:val="17"/>
              </w:rPr>
              <w:t>Sub-irrigación (sin sistema)</w:t>
            </w:r>
          </w:p>
        </w:tc>
        <w:tc>
          <w:tcPr>
            <w:tcW w:type="dxa" w:w="1701"/>
            <w:shd w:val="clear" w:color="auto" w:fill="FFFFFF"/>
            <w:vAlign w:val="center"/>
          </w:tcPr>
          <w:p>
            <w:pPr>
              <w:spacing w:before="40" w:after="40"/>
            </w:pPr>
            <w:r>
              <w:rPr>
                <w:rFonts w:ascii="Calibri" w:hAnsi="Calibri"/>
                <w:color w:val="404040"/>
                <w:sz w:val="17"/>
              </w:rPr>
              <w:t>4,800</w:t>
            </w:r>
          </w:p>
        </w:tc>
        <w:tc>
          <w:tcPr>
            <w:tcW w:type="dxa" w:w="1701"/>
            <w:shd w:val="clear" w:color="auto" w:fill="FFFFFF"/>
            <w:vAlign w:val="center"/>
          </w:tcPr>
          <w:p>
            <w:pPr>
              <w:spacing w:before="40" w:after="40"/>
            </w:pPr>
            <w:r>
              <w:rPr>
                <w:rFonts w:ascii="Calibri" w:hAnsi="Calibri"/>
                <w:color w:val="404040"/>
                <w:sz w:val="17"/>
              </w:rPr>
              <w:t>$8,064 MXN/ha</w:t>
            </w:r>
          </w:p>
        </w:tc>
        <w:tc>
          <w:tcPr>
            <w:tcW w:type="dxa" w:w="1417"/>
            <w:shd w:val="clear" w:color="auto" w:fill="FFFFFF"/>
            <w:vAlign w:val="center"/>
          </w:tcPr>
          <w:p>
            <w:pPr>
              <w:spacing w:before="40" w:after="40"/>
            </w:pPr>
            <w:r>
              <w:rPr>
                <w:rFonts w:ascii="Calibri" w:hAnsi="Calibri"/>
                <w:color w:val="404040"/>
                <w:sz w:val="17"/>
              </w:rPr>
              <w:t>5.4 ton/ha</w:t>
            </w:r>
          </w:p>
        </w:tc>
        <w:tc>
          <w:tcPr>
            <w:tcW w:type="dxa" w:w="1757"/>
            <w:shd w:val="clear" w:color="auto" w:fill="FFFFFF"/>
            <w:vAlign w:val="center"/>
          </w:tcPr>
          <w:p>
            <w:pPr>
              <w:spacing w:before="40" w:after="40"/>
            </w:pPr>
            <w:r>
              <w:rPr>
                <w:rFonts w:ascii="Calibri" w:hAnsi="Calibri"/>
                <w:color w:val="404040"/>
                <w:sz w:val="17"/>
              </w:rPr>
              <w:t>Estrés en floración −24% rendimiento</w:t>
            </w:r>
          </w:p>
        </w:tc>
      </w:tr>
    </w:tbl>
    <w:p>
      <w:pPr>
        <w:spacing w:after="60"/>
      </w:pPr>
    </w:p>
    <w:p>
      <w:pPr>
        <w:spacing w:after="60"/>
        <w:shd w:val="clear" w:color="auto" w:fill="EBF3FB"/>
      </w:pPr>
      <w:r>
        <w:rPr>
          <w:b/>
          <w:color w:val="1F497D"/>
          <w:sz w:val="19"/>
        </w:rPr>
        <w:t xml:space="preserve">Ahorro MILPÍN vs. tradicional: </w:t>
      </w:r>
      <w:r>
        <w:rPr>
          <w:b/>
          <w:color w:val="378644"/>
          <w:sz w:val="20"/>
        </w:rPr>
        <w:t>2,100 m³/ha/ciclo (−25.6%)</w:t>
      </w:r>
      <w:r>
        <w:rPr>
          <w:i/>
          <w:color w:val="404040"/>
          <w:sz w:val="17"/>
        </w:rPr>
        <w:t xml:space="preserve">  ≡ $3,528 MXN/ha en energía de bombeo</w:t>
      </w:r>
    </w:p>
    <w:p>
      <w:pPr>
        <w:pStyle w:val="Heading2"/>
        <w:pBdr>
          <w:bottom w:val="single" w:sz="4" w:space="1" w:color="2E75B6"/>
        </w:pBdr>
      </w:pPr>
      <w:r>
        <w:t>9.3  Deuda Técnica Crítica — Prioridad de Resolución</w:t>
      </w:r>
    </w:p>
    <w:tbl>
      <w:tblPr>
        <w:tblStyle w:val="TableGrid"/>
        <w:tblW w:type="auto" w:w="0"/>
        <w:jc w:val="left"/>
        <w:tblLook w:firstColumn="1" w:firstRow="1" w:lastColumn="0" w:lastRow="0" w:noHBand="0" w:noVBand="1" w:val="04A0"/>
      </w:tblPr>
      <w:tblGrid>
        <w:gridCol w:w="3137"/>
        <w:gridCol w:w="3137"/>
        <w:gridCol w:w="3137"/>
      </w:tblGrid>
      <w:tr>
        <w:tc>
          <w:tcPr>
            <w:tcW w:type="dxa" w:w="850"/>
            <w:shd w:val="clear" w:color="auto" w:fill="1F497D"/>
            <w:vAlign w:val="center"/>
          </w:tcPr>
          <w:p>
            <w:pPr>
              <w:spacing w:before="40" w:after="40"/>
            </w:pPr>
            <w:r>
              <w:rPr>
                <w:rFonts w:ascii="Calibri" w:hAnsi="Calibri"/>
                <w:b/>
                <w:color w:val="FFFFFF"/>
                <w:sz w:val="17"/>
              </w:rPr>
              <w:t>Prioridad</w:t>
            </w:r>
          </w:p>
        </w:tc>
        <w:tc>
          <w:tcPr>
            <w:tcW w:type="dxa" w:w="1984"/>
            <w:shd w:val="clear" w:color="auto" w:fill="1F497D"/>
            <w:vAlign w:val="center"/>
          </w:tcPr>
          <w:p>
            <w:pPr>
              <w:spacing w:before="40" w:after="40"/>
            </w:pPr>
            <w:r>
              <w:rPr>
                <w:rFonts w:ascii="Calibri" w:hAnsi="Calibri"/>
                <w:b/>
                <w:color w:val="FFFFFF"/>
                <w:sz w:val="17"/>
              </w:rPr>
              <w:t>Ítem</w:t>
            </w:r>
          </w:p>
        </w:tc>
        <w:tc>
          <w:tcPr>
            <w:tcW w:type="dxa" w:w="6576"/>
            <w:shd w:val="clear" w:color="auto" w:fill="1F497D"/>
            <w:vAlign w:val="center"/>
          </w:tcPr>
          <w:p>
            <w:pPr>
              <w:spacing w:before="40" w:after="40"/>
            </w:pPr>
            <w:r>
              <w:rPr>
                <w:rFonts w:ascii="Calibri" w:hAnsi="Calibri"/>
                <w:b/>
                <w:color w:val="FFFFFF"/>
                <w:sz w:val="17"/>
              </w:rPr>
              <w:t>Descripción y riesgo</w:t>
            </w:r>
          </w:p>
        </w:tc>
      </w:tr>
      <w:tr>
        <w:tc>
          <w:tcPr>
            <w:tcW w:type="dxa" w:w="850"/>
            <w:shd w:val="clear" w:color="auto" w:fill="FFFFFF"/>
            <w:vAlign w:val="center"/>
          </w:tcPr>
          <w:p>
            <w:pPr>
              <w:spacing w:before="40" w:after="40"/>
            </w:pPr>
            <w:r>
              <w:rPr>
                <w:rFonts w:ascii="Calibri" w:hAnsi="Calibri"/>
                <w:color w:val="404040"/>
                <w:sz w:val="17"/>
              </w:rPr>
              <w:t>🔴 CRÍTICA</w:t>
            </w:r>
          </w:p>
        </w:tc>
        <w:tc>
          <w:tcPr>
            <w:tcW w:type="dxa" w:w="1984"/>
            <w:shd w:val="clear" w:color="auto" w:fill="FFFFFF"/>
            <w:vAlign w:val="center"/>
          </w:tcPr>
          <w:p>
            <w:pPr>
              <w:spacing w:before="40" w:after="40"/>
            </w:pPr>
            <w:r>
              <w:rPr>
                <w:rFonts w:ascii="Calibri" w:hAnsi="Calibri"/>
                <w:color w:val="404040"/>
                <w:sz w:val="17"/>
              </w:rPr>
              <w:t>Auth JWT sin implementar</w:t>
            </w:r>
          </w:p>
        </w:tc>
        <w:tc>
          <w:tcPr>
            <w:tcW w:type="dxa" w:w="6576"/>
            <w:shd w:val="clear" w:color="auto" w:fill="FFFFFF"/>
            <w:vAlign w:val="center"/>
          </w:tcPr>
          <w:p>
            <w:pPr>
              <w:spacing w:before="40" w:after="40"/>
            </w:pPr>
            <w:r>
              <w:rPr>
                <w:rFonts w:ascii="Calibri" w:hAnsi="Calibri"/>
                <w:color w:val="404040"/>
                <w:sz w:val="17"/>
              </w:rPr>
              <w:t>Cualquier UUID crea parcelas. Resolver ANTES del piloto público.</w:t>
            </w:r>
          </w:p>
        </w:tc>
      </w:tr>
      <w:tr>
        <w:tc>
          <w:tcPr>
            <w:tcW w:type="dxa" w:w="850"/>
            <w:shd w:val="clear" w:color="auto" w:fill="DDEAF7"/>
            <w:vAlign w:val="center"/>
          </w:tcPr>
          <w:p>
            <w:pPr>
              <w:spacing w:before="40" w:after="40"/>
            </w:pPr>
            <w:r>
              <w:rPr>
                <w:rFonts w:ascii="Calibri" w:hAnsi="Calibri"/>
                <w:color w:val="404040"/>
                <w:sz w:val="17"/>
              </w:rPr>
              <w:t>🔴 CRÍTICA</w:t>
            </w:r>
          </w:p>
        </w:tc>
        <w:tc>
          <w:tcPr>
            <w:tcW w:type="dxa" w:w="1984"/>
            <w:shd w:val="clear" w:color="auto" w:fill="DDEAF7"/>
            <w:vAlign w:val="center"/>
          </w:tcPr>
          <w:p>
            <w:pPr>
              <w:spacing w:before="40" w:after="40"/>
            </w:pPr>
            <w:r>
              <w:rPr>
                <w:rFonts w:ascii="Calibri" w:hAnsi="Calibri"/>
                <w:color w:val="404040"/>
                <w:sz w:val="17"/>
              </w:rPr>
              <w:t>Credenciales en .env</w:t>
            </w:r>
          </w:p>
        </w:tc>
        <w:tc>
          <w:tcPr>
            <w:tcW w:type="dxa" w:w="6576"/>
            <w:shd w:val="clear" w:color="auto" w:fill="DDEAF7"/>
            <w:vAlign w:val="center"/>
          </w:tcPr>
          <w:p>
            <w:pPr>
              <w:spacing w:before="40" w:after="40"/>
            </w:pPr>
            <w:r>
              <w:rPr>
                <w:rFonts w:ascii="Calibri" w:hAnsi="Calibri"/>
                <w:color w:val="404040"/>
                <w:sz w:val="17"/>
              </w:rPr>
              <w:t>Password postgres en texto plano. Rotar y agregar a .gitignore.</w:t>
            </w:r>
          </w:p>
        </w:tc>
      </w:tr>
      <w:tr>
        <w:tc>
          <w:tcPr>
            <w:tcW w:type="dxa" w:w="850"/>
            <w:shd w:val="clear" w:color="auto" w:fill="FFFFFF"/>
            <w:vAlign w:val="center"/>
          </w:tcPr>
          <w:p>
            <w:pPr>
              <w:spacing w:before="40" w:after="40"/>
            </w:pPr>
            <w:r>
              <w:rPr>
                <w:rFonts w:ascii="Calibri" w:hAnsi="Calibri"/>
                <w:color w:val="404040"/>
                <w:sz w:val="17"/>
              </w:rPr>
              <w:t>🟠 ALTA</w:t>
            </w:r>
          </w:p>
        </w:tc>
        <w:tc>
          <w:tcPr>
            <w:tcW w:type="dxa" w:w="1984"/>
            <w:shd w:val="clear" w:color="auto" w:fill="FFFFFF"/>
            <w:vAlign w:val="center"/>
          </w:tcPr>
          <w:p>
            <w:pPr>
              <w:spacing w:before="40" w:after="40"/>
            </w:pPr>
            <w:r>
              <w:rPr>
                <w:rFonts w:ascii="Calibri" w:hAnsi="Calibri"/>
                <w:color w:val="404040"/>
                <w:sz w:val="17"/>
              </w:rPr>
              <w:t>Path traversal en voz</w:t>
            </w:r>
          </w:p>
        </w:tc>
        <w:tc>
          <w:tcPr>
            <w:tcW w:type="dxa" w:w="6576"/>
            <w:shd w:val="clear" w:color="auto" w:fill="FFFFFF"/>
            <w:vAlign w:val="center"/>
          </w:tcPr>
          <w:p>
            <w:pPr>
              <w:spacing w:before="40" w:after="40"/>
            </w:pPr>
            <w:r>
              <w:rPr>
                <w:rFonts w:ascii="Calibri" w:hAnsi="Calibri"/>
                <w:color w:val="404040"/>
                <w:sz w:val="17"/>
              </w:rPr>
              <w:t>voice_endpoint.py usa filename sin sanitizar — riesgo escritura arbitraria.</w:t>
            </w:r>
          </w:p>
        </w:tc>
      </w:tr>
      <w:tr>
        <w:tc>
          <w:tcPr>
            <w:tcW w:type="dxa" w:w="850"/>
            <w:shd w:val="clear" w:color="auto" w:fill="DDEAF7"/>
            <w:vAlign w:val="center"/>
          </w:tcPr>
          <w:p>
            <w:pPr>
              <w:spacing w:before="40" w:after="40"/>
            </w:pPr>
            <w:r>
              <w:rPr>
                <w:rFonts w:ascii="Calibri" w:hAnsi="Calibri"/>
                <w:color w:val="404040"/>
                <w:sz w:val="17"/>
              </w:rPr>
              <w:t>🟡 MEDIA</w:t>
            </w:r>
          </w:p>
        </w:tc>
        <w:tc>
          <w:tcPr>
            <w:tcW w:type="dxa" w:w="1984"/>
            <w:shd w:val="clear" w:color="auto" w:fill="DDEAF7"/>
            <w:vAlign w:val="center"/>
          </w:tcPr>
          <w:p>
            <w:pPr>
              <w:spacing w:before="40" w:after="40"/>
            </w:pPr>
            <w:r>
              <w:rPr>
                <w:rFonts w:ascii="Calibri" w:hAnsi="Calibri"/>
                <w:color w:val="404040"/>
                <w:sz w:val="17"/>
              </w:rPr>
              <w:t>CORS abierto</w:t>
            </w:r>
          </w:p>
        </w:tc>
        <w:tc>
          <w:tcPr>
            <w:tcW w:type="dxa" w:w="6576"/>
            <w:shd w:val="clear" w:color="auto" w:fill="DDEAF7"/>
            <w:vAlign w:val="center"/>
          </w:tcPr>
          <w:p>
            <w:pPr>
              <w:spacing w:before="40" w:after="40"/>
            </w:pPr>
            <w:r>
              <w:rPr>
                <w:rFonts w:ascii="Calibri" w:hAnsi="Calibri"/>
                <w:color w:val="404040"/>
                <w:sz w:val="17"/>
              </w:rPr>
              <w:t>allow_origins=["*"] — reemplazar por allowlist de dominios producción.</w:t>
            </w:r>
          </w:p>
        </w:tc>
      </w:tr>
      <w:tr>
        <w:tc>
          <w:tcPr>
            <w:tcW w:type="dxa" w:w="850"/>
            <w:shd w:val="clear" w:color="auto" w:fill="FFFFFF"/>
            <w:vAlign w:val="center"/>
          </w:tcPr>
          <w:p>
            <w:pPr>
              <w:spacing w:before="40" w:after="40"/>
            </w:pPr>
            <w:r>
              <w:rPr>
                <w:rFonts w:ascii="Calibri" w:hAnsi="Calibri"/>
                <w:color w:val="404040"/>
                <w:sz w:val="17"/>
              </w:rPr>
              <w:t>🟡 MEDIA</w:t>
            </w:r>
          </w:p>
        </w:tc>
        <w:tc>
          <w:tcPr>
            <w:tcW w:type="dxa" w:w="1984"/>
            <w:shd w:val="clear" w:color="auto" w:fill="FFFFFF"/>
            <w:vAlign w:val="center"/>
          </w:tcPr>
          <w:p>
            <w:pPr>
              <w:spacing w:before="40" w:after="40"/>
            </w:pPr>
            <w:r>
              <w:rPr>
                <w:rFonts w:ascii="Calibri" w:hAnsi="Calibri"/>
                <w:color w:val="404040"/>
                <w:sz w:val="17"/>
              </w:rPr>
              <w:t>Catálogo cultivos triplicado</w:t>
            </w:r>
          </w:p>
        </w:tc>
        <w:tc>
          <w:tcPr>
            <w:tcW w:type="dxa" w:w="6576"/>
            <w:shd w:val="clear" w:color="auto" w:fill="FFFFFF"/>
            <w:vAlign w:val="center"/>
          </w:tcPr>
          <w:p>
            <w:pPr>
              <w:spacing w:before="40" w:after="40"/>
            </w:pPr>
            <w:r>
              <w:rPr>
                <w:rFonts w:ascii="Calibri" w:hAnsi="Calibri"/>
                <w:color w:val="404040"/>
                <w:sz w:val="17"/>
              </w:rPr>
              <w:t>Kc hardcodeados en 6 archivos. Centralizar en cultivos_catalogo DB.</w:t>
            </w:r>
          </w:p>
        </w:tc>
      </w:tr>
      <w:tr>
        <w:tc>
          <w:tcPr>
            <w:tcW w:type="dxa" w:w="850"/>
            <w:shd w:val="clear" w:color="auto" w:fill="DDEAF7"/>
            <w:vAlign w:val="center"/>
          </w:tcPr>
          <w:p>
            <w:pPr>
              <w:spacing w:before="40" w:after="40"/>
            </w:pPr>
            <w:r>
              <w:rPr>
                <w:rFonts w:ascii="Calibri" w:hAnsi="Calibri"/>
                <w:color w:val="404040"/>
                <w:sz w:val="17"/>
              </w:rPr>
              <w:t>🟢 BAJA</w:t>
            </w:r>
          </w:p>
        </w:tc>
        <w:tc>
          <w:tcPr>
            <w:tcW w:type="dxa" w:w="1984"/>
            <w:shd w:val="clear" w:color="auto" w:fill="DDEAF7"/>
            <w:vAlign w:val="center"/>
          </w:tcPr>
          <w:p>
            <w:pPr>
              <w:spacing w:before="40" w:after="40"/>
            </w:pPr>
            <w:r>
              <w:rPr>
                <w:rFonts w:ascii="Calibri" w:hAnsi="Calibri"/>
                <w:color w:val="404040"/>
                <w:sz w:val="17"/>
              </w:rPr>
              <w:t>Re-exports temporales</w:t>
            </w:r>
          </w:p>
        </w:tc>
        <w:tc>
          <w:tcPr>
            <w:tcW w:type="dxa" w:w="6576"/>
            <w:shd w:val="clear" w:color="auto" w:fill="DDEAF7"/>
            <w:vAlign w:val="center"/>
          </w:tcPr>
          <w:p>
            <w:pPr>
              <w:spacing w:before="40" w:after="40"/>
            </w:pPr>
            <w:r>
              <w:rPr>
                <w:rFonts w:ascii="Calibri" w:hAnsi="Calibri"/>
                <w:color w:val="404040"/>
                <w:sz w:val="17"/>
              </w:rPr>
              <w:t>backend/core/xgboost_riego.py y anomaly_detector.py son stubs. Limpiar Fase B.</w:t>
            </w:r>
          </w:p>
        </w:tc>
      </w:tr>
    </w:tbl>
    <w:p>
      <w:pPr>
        <w:spacing w:after="60"/>
      </w:pPr>
    </w:p>
    <w:p>
      <w:r>
        <w:br/>
      </w:r>
    </w:p>
    <w:p>
      <w:pPr>
        <w:pStyle w:val="Heading1"/>
        <w:shd w:val="clear" w:color="auto" w:fill="1F497D"/>
      </w:pPr>
      <w:r>
        <w:rPr>
          <w:b/>
          <w:color w:val="FFFFFF"/>
        </w:rPr>
        <w:t>PARTE III — DILEMAS ACADÉMICOS POR MATERIA</w:t>
      </w:r>
    </w:p>
    <w:p>
      <w:pPr>
        <w:spacing w:after="80" w:before="0"/>
      </w:pPr>
      <w:r>
        <w:rPr>
          <w:rFonts w:ascii="Calibri" w:hAnsi="Calibri"/>
          <w:b w:val="0"/>
          <w:i w:val="0"/>
          <w:color w:val="404040"/>
          <w:sz w:val="19"/>
        </w:rPr>
        <w:t>Esta sección responde los dilemas del incidente crítico multidisciplinar, conectando la teoría de cada UCA con las decisiones técnicas reales implementadas en MILPÍN.</w:t>
      </w:r>
    </w:p>
    <w:p>
      <w:pPr>
        <w:pStyle w:val="Heading1"/>
        <w:shd w:val="clear" w:color="auto" w:fill="1F497D"/>
      </w:pPr>
      <w:r>
        <w:rPr>
          <w:b/>
          <w:color w:val="FFFFFF"/>
        </w:rPr>
        <w:t>X.  Cómputo Cognitivo — Calidad de Dato e Incertidumbre</w:t>
      </w:r>
    </w:p>
    <w:p>
      <w:pPr>
        <w:pStyle w:val="Heading2"/>
        <w:pBdr>
          <w:bottom w:val="single" w:sz="4" w:space="1" w:color="2E75B6"/>
        </w:pBdr>
      </w:pPr>
      <w:r>
        <w:t>10.1  ¿Es aceptable recomendar con datos incompletos?</w:t>
      </w:r>
    </w:p>
    <w:p>
      <w:pPr>
        <w:spacing w:after="60" w:before="0"/>
      </w:pPr>
      <w:r>
        <w:rPr>
          <w:rFonts w:ascii="Calibri" w:hAnsi="Calibri"/>
          <w:b w:val="0"/>
          <w:i w:val="0"/>
          <w:color w:val="404040"/>
          <w:sz w:val="19"/>
        </w:rPr>
        <w:t>Sí, bajo condiciones explícitas y con salvaguardas técnicas. La alternativa —no recomendar hasta tener datos perfectos— perpetúa la sobreirrigación sistemática, daño ya cuantificado. MILPÍN implementa tres salvaguardas: (1) Hargreaves fallback cuando radiación/humedad no disponibles; (2) propagar_balance_hidrico() con estimación conservadora desde el último riego real; (3) FSM de calidad con tres estados que condicionan el tipo de recomendación emitida.</w:t>
      </w:r>
    </w:p>
    <w:p>
      <w:pPr>
        <w:pStyle w:val="Heading2"/>
        <w:pBdr>
          <w:bottom w:val="single" w:sz="4" w:space="1" w:color="2E75B6"/>
        </w:pBdr>
      </w:pPr>
      <w:r>
        <w:t>10.2  Comunicar incertidumbre sin paralizar la decisión operativa</w:t>
      </w:r>
    </w:p>
    <w:p>
      <w:pPr>
        <w:spacing w:after="60" w:before="0"/>
      </w:pPr>
      <w:r>
        <w:rPr>
          <w:rFonts w:ascii="Calibri" w:hAnsi="Calibri"/>
          <w:b w:val="0"/>
          <w:i w:val="0"/>
          <w:color w:val="404040"/>
          <w:sz w:val="19"/>
        </w:rPr>
        <w:t>MILPÍN adopta el principio de "incertidumbre operable" (OECD, 2019): transformar la incertidumbre estadística en rangos accionables. En lugar de intervalos de confianza técnicos que el productor no puede interpretar operativamente, el sistema usa tres niveles de urgencia calibrados: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020"/>
            <w:shd w:val="clear" w:color="auto" w:fill="1F497D"/>
            <w:vAlign w:val="center"/>
          </w:tcPr>
          <w:p>
            <w:pPr>
              <w:spacing w:before="40" w:after="40"/>
            </w:pPr>
            <w:r>
              <w:rPr>
                <w:rFonts w:ascii="Calibri" w:hAnsi="Calibri"/>
                <w:b/>
                <w:color w:val="FFFFFF"/>
                <w:sz w:val="17"/>
              </w:rPr>
              <w:t>Nivel</w:t>
            </w:r>
          </w:p>
        </w:tc>
        <w:tc>
          <w:tcPr>
            <w:tcW w:type="dxa" w:w="1984"/>
            <w:shd w:val="clear" w:color="auto" w:fill="1F497D"/>
            <w:vAlign w:val="center"/>
          </w:tcPr>
          <w:p>
            <w:pPr>
              <w:spacing w:before="40" w:after="40"/>
            </w:pPr>
            <w:r>
              <w:rPr>
                <w:rFonts w:ascii="Calibri" w:hAnsi="Calibri"/>
                <w:b/>
                <w:color w:val="FFFFFF"/>
                <w:sz w:val="17"/>
              </w:rPr>
              <w:t>Condición</w:t>
            </w:r>
          </w:p>
        </w:tc>
        <w:tc>
          <w:tcPr>
            <w:tcW w:type="dxa" w:w="3118"/>
            <w:shd w:val="clear" w:color="auto" w:fill="1F497D"/>
            <w:vAlign w:val="center"/>
          </w:tcPr>
          <w:p>
            <w:pPr>
              <w:spacing w:before="40" w:after="40"/>
            </w:pPr>
            <w:r>
              <w:rPr>
                <w:rFonts w:ascii="Calibri" w:hAnsi="Calibri"/>
                <w:b/>
                <w:color w:val="FFFFFF"/>
                <w:sz w:val="17"/>
              </w:rPr>
              <w:t>Mensaje al agricultor</w:t>
            </w:r>
          </w:p>
        </w:tc>
        <w:tc>
          <w:tcPr>
            <w:tcW w:type="dxa" w:w="3288"/>
            <w:shd w:val="clear" w:color="auto" w:fill="1F497D"/>
            <w:vAlign w:val="center"/>
          </w:tcPr>
          <w:p>
            <w:pPr>
              <w:spacing w:before="40" w:after="40"/>
            </w:pPr>
            <w:r>
              <w:rPr>
                <w:rFonts w:ascii="Calibri" w:hAnsi="Calibri"/>
                <w:b/>
                <w:color w:val="FFFFFF"/>
                <w:sz w:val="17"/>
              </w:rPr>
              <w:t>Acción esperada</w:t>
            </w:r>
          </w:p>
        </w:tc>
      </w:tr>
      <w:tr>
        <w:tc>
          <w:tcPr>
            <w:tcW w:type="dxa" w:w="1020"/>
            <w:shd w:val="clear" w:color="auto" w:fill="FFFFFF"/>
            <w:vAlign w:val="center"/>
          </w:tcPr>
          <w:p>
            <w:pPr>
              <w:spacing w:before="40" w:after="40"/>
            </w:pPr>
            <w:r>
              <w:rPr>
                <w:rFonts w:ascii="Calibri" w:hAnsi="Calibri"/>
                <w:color w:val="404040"/>
                <w:sz w:val="17"/>
              </w:rPr>
              <w:t>🔴 CRÍTICO</w:t>
            </w:r>
          </w:p>
        </w:tc>
        <w:tc>
          <w:tcPr>
            <w:tcW w:type="dxa" w:w="1984"/>
            <w:shd w:val="clear" w:color="auto" w:fill="FFFFFF"/>
            <w:vAlign w:val="center"/>
          </w:tcPr>
          <w:p>
            <w:pPr>
              <w:spacing w:before="40" w:after="40"/>
            </w:pPr>
            <w:r>
              <w:rPr>
                <w:rFonts w:ascii="Calibri" w:hAnsi="Calibri"/>
                <w:color w:val="404040"/>
                <w:sz w:val="17"/>
              </w:rPr>
              <w:t>≥90% prob. estrés 24h</w:t>
            </w:r>
          </w:p>
        </w:tc>
        <w:tc>
          <w:tcPr>
            <w:tcW w:type="dxa" w:w="3118"/>
            <w:shd w:val="clear" w:color="auto" w:fill="FFFFFF"/>
            <w:vAlign w:val="center"/>
          </w:tcPr>
          <w:p>
            <w:pPr>
              <w:spacing w:before="40" w:after="40"/>
            </w:pPr>
            <w:r>
              <w:rPr>
                <w:rFonts w:ascii="Calibri" w:hAnsi="Calibri"/>
                <w:color w:val="404040"/>
                <w:sz w:val="17"/>
              </w:rPr>
              <w:t>"Riegue hoy. Volumen: X m³."</w:t>
            </w:r>
          </w:p>
        </w:tc>
        <w:tc>
          <w:tcPr>
            <w:tcW w:type="dxa" w:w="3288"/>
            <w:shd w:val="clear" w:color="auto" w:fill="FFFFFF"/>
            <w:vAlign w:val="center"/>
          </w:tcPr>
          <w:p>
            <w:pPr>
              <w:spacing w:before="40" w:after="40"/>
            </w:pPr>
            <w:r>
              <w:rPr>
                <w:rFonts w:ascii="Calibri" w:hAnsi="Calibri"/>
                <w:color w:val="404040"/>
                <w:sz w:val="17"/>
              </w:rPr>
              <w:t>Riego inmediato</w:t>
            </w:r>
          </w:p>
        </w:tc>
      </w:tr>
      <w:tr>
        <w:tc>
          <w:tcPr>
            <w:tcW w:type="dxa" w:w="1020"/>
            <w:shd w:val="clear" w:color="auto" w:fill="DDEAF7"/>
            <w:vAlign w:val="center"/>
          </w:tcPr>
          <w:p>
            <w:pPr>
              <w:spacing w:before="40" w:after="40"/>
            </w:pPr>
            <w:r>
              <w:rPr>
                <w:rFonts w:ascii="Calibri" w:hAnsi="Calibri"/>
                <w:color w:val="404040"/>
                <w:sz w:val="17"/>
              </w:rPr>
              <w:t>🟡 ALTO</w:t>
            </w:r>
          </w:p>
        </w:tc>
        <w:tc>
          <w:tcPr>
            <w:tcW w:type="dxa" w:w="1984"/>
            <w:shd w:val="clear" w:color="auto" w:fill="DDEAF7"/>
            <w:vAlign w:val="center"/>
          </w:tcPr>
          <w:p>
            <w:pPr>
              <w:spacing w:before="40" w:after="40"/>
            </w:pPr>
            <w:r>
              <w:rPr>
                <w:rFonts w:ascii="Calibri" w:hAnsi="Calibri"/>
                <w:color w:val="404040"/>
                <w:sz w:val="17"/>
              </w:rPr>
              <w:t>70–89% prob.</w:t>
            </w:r>
          </w:p>
        </w:tc>
        <w:tc>
          <w:tcPr>
            <w:tcW w:type="dxa" w:w="3118"/>
            <w:shd w:val="clear" w:color="auto" w:fill="DDEAF7"/>
            <w:vAlign w:val="center"/>
          </w:tcPr>
          <w:p>
            <w:pPr>
              <w:spacing w:before="40" w:after="40"/>
            </w:pPr>
            <w:r>
              <w:rPr>
                <w:rFonts w:ascii="Calibri" w:hAnsi="Calibri"/>
                <w:color w:val="404040"/>
                <w:sz w:val="17"/>
              </w:rPr>
              <w:t>"Riegue en 2 días. Si llueve, puede esperar."</w:t>
            </w:r>
          </w:p>
        </w:tc>
        <w:tc>
          <w:tcPr>
            <w:tcW w:type="dxa" w:w="3288"/>
            <w:shd w:val="clear" w:color="auto" w:fill="DDEAF7"/>
            <w:vAlign w:val="center"/>
          </w:tcPr>
          <w:p>
            <w:pPr>
              <w:spacing w:before="40" w:after="40"/>
            </w:pPr>
            <w:r>
              <w:rPr>
                <w:rFonts w:ascii="Calibri" w:hAnsi="Calibri"/>
                <w:color w:val="404040"/>
                <w:sz w:val="17"/>
              </w:rPr>
              <w:t>Riego en 48h</w:t>
            </w:r>
          </w:p>
        </w:tc>
      </w:tr>
      <w:tr>
        <w:tc>
          <w:tcPr>
            <w:tcW w:type="dxa" w:w="1020"/>
            <w:shd w:val="clear" w:color="auto" w:fill="FFFFFF"/>
            <w:vAlign w:val="center"/>
          </w:tcPr>
          <w:p>
            <w:pPr>
              <w:spacing w:before="40" w:after="40"/>
            </w:pPr>
            <w:r>
              <w:rPr>
                <w:rFonts w:ascii="Calibri" w:hAnsi="Calibri"/>
                <w:color w:val="404040"/>
                <w:sz w:val="17"/>
              </w:rPr>
              <w:t>🟢 NORMAL</w:t>
            </w:r>
          </w:p>
        </w:tc>
        <w:tc>
          <w:tcPr>
            <w:tcW w:type="dxa" w:w="1984"/>
            <w:shd w:val="clear" w:color="auto" w:fill="FFFFFF"/>
            <w:vAlign w:val="center"/>
          </w:tcPr>
          <w:p>
            <w:pPr>
              <w:spacing w:before="40" w:after="40"/>
            </w:pPr>
            <w:r>
              <w:rPr>
                <w:rFonts w:ascii="Calibri" w:hAnsi="Calibri"/>
                <w:color w:val="404040"/>
                <w:sz w:val="17"/>
              </w:rPr>
              <w:t>&lt;70% prob.</w:t>
            </w:r>
          </w:p>
        </w:tc>
        <w:tc>
          <w:tcPr>
            <w:tcW w:type="dxa" w:w="3118"/>
            <w:shd w:val="clear" w:color="auto" w:fill="FFFFFF"/>
            <w:vAlign w:val="center"/>
          </w:tcPr>
          <w:p>
            <w:pPr>
              <w:spacing w:before="40" w:after="40"/>
            </w:pPr>
            <w:r>
              <w:rPr>
                <w:rFonts w:ascii="Calibri" w:hAnsi="Calibri"/>
                <w:color w:val="404040"/>
                <w:sz w:val="17"/>
              </w:rPr>
              <w:t>"Sin necesidad. Próximo riego en N días."</w:t>
            </w:r>
          </w:p>
        </w:tc>
        <w:tc>
          <w:tcPr>
            <w:tcW w:type="dxa" w:w="3288"/>
            <w:shd w:val="clear" w:color="auto" w:fill="FFFFFF"/>
            <w:vAlign w:val="center"/>
          </w:tcPr>
          <w:p>
            <w:pPr>
              <w:spacing w:before="40" w:after="40"/>
            </w:pPr>
            <w:r>
              <w:rPr>
                <w:rFonts w:ascii="Calibri" w:hAnsi="Calibri"/>
                <w:color w:val="404040"/>
                <w:sz w:val="17"/>
              </w:rPr>
              <w:t>Monitoreo</w:t>
            </w:r>
          </w:p>
        </w:tc>
      </w:tr>
    </w:tbl>
    <w:p>
      <w:pPr>
        <w:spacing w:after="60"/>
      </w:pPr>
    </w:p>
    <w:p>
      <w:pPr>
        <w:spacing w:after="60" w:before="0"/>
      </w:pPr>
      <w:r>
        <w:rPr>
          <w:rFonts w:ascii="Calibri" w:hAnsi="Calibri"/>
          <w:b w:val="0"/>
          <w:i/>
          <w:color w:val="404040"/>
          <w:sz w:val="18"/>
        </w:rPr>
        <w:t>Interpretabilidad vs. precisión: capa superficial (lenguaje natural) + capa técnica (FAO-56 inputs) accesible bajo demanda. El productor ve el resultado; el agrónomo puede auditar el proceso.</w:t>
      </w:r>
    </w:p>
    <w:p>
      <w:pPr>
        <w:pStyle w:val="Heading1"/>
        <w:shd w:val="clear" w:color="auto" w:fill="1F497D"/>
      </w:pPr>
      <w:r>
        <w:rPr>
          <w:b/>
          <w:color w:val="FFFFFF"/>
        </w:rPr>
        <w:t>XI.  Sistemas de Información — Umbrales y Responsabilidad</w:t>
      </w:r>
    </w:p>
    <w:p>
      <w:pPr>
        <w:pStyle w:val="Heading2"/>
        <w:pBdr>
          <w:bottom w:val="single" w:sz="4" w:space="1" w:color="2E75B6"/>
        </w:pBdr>
      </w:pPr>
      <w:r>
        <w:t>11.1  Umbrales de calidad de datos y FSM de estados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417"/>
            <w:shd w:val="clear" w:color="auto" w:fill="1F497D"/>
            <w:vAlign w:val="center"/>
          </w:tcPr>
          <w:p>
            <w:pPr>
              <w:spacing w:before="40" w:after="40"/>
            </w:pPr>
            <w:r>
              <w:rPr>
                <w:rFonts w:ascii="Calibri" w:hAnsi="Calibri"/>
                <w:b/>
                <w:color w:val="FFFFFF"/>
                <w:sz w:val="17"/>
              </w:rPr>
              <w:t>Estado FSM</w:t>
            </w:r>
          </w:p>
        </w:tc>
        <w:tc>
          <w:tcPr>
            <w:tcW w:type="dxa" w:w="2835"/>
            <w:shd w:val="clear" w:color="auto" w:fill="1F497D"/>
            <w:vAlign w:val="center"/>
          </w:tcPr>
          <w:p>
            <w:pPr>
              <w:spacing w:before="40" w:after="40"/>
            </w:pPr>
            <w:r>
              <w:rPr>
                <w:rFonts w:ascii="Calibri" w:hAnsi="Calibri"/>
                <w:b/>
                <w:color w:val="FFFFFF"/>
                <w:sz w:val="17"/>
              </w:rPr>
              <w:t>Condición de activación</w:t>
            </w:r>
          </w:p>
        </w:tc>
        <w:tc>
          <w:tcPr>
            <w:tcW w:type="dxa" w:w="2551"/>
            <w:shd w:val="clear" w:color="auto" w:fill="1F497D"/>
            <w:vAlign w:val="center"/>
          </w:tcPr>
          <w:p>
            <w:pPr>
              <w:spacing w:before="40" w:after="40"/>
            </w:pPr>
            <w:r>
              <w:rPr>
                <w:rFonts w:ascii="Calibri" w:hAnsi="Calibri"/>
                <w:b/>
                <w:color w:val="FFFFFF"/>
                <w:sz w:val="17"/>
              </w:rPr>
              <w:t>Acción del sistema</w:t>
            </w:r>
          </w:p>
        </w:tc>
        <w:tc>
          <w:tcPr>
            <w:tcW w:type="dxa" w:w="2041"/>
            <w:shd w:val="clear" w:color="auto" w:fill="1F497D"/>
            <w:vAlign w:val="center"/>
          </w:tcPr>
          <w:p>
            <w:pPr>
              <w:spacing w:before="40" w:after="40"/>
            </w:pPr>
            <w:r>
              <w:rPr>
                <w:rFonts w:ascii="Calibri" w:hAnsi="Calibri"/>
                <w:b/>
                <w:color w:val="FFFFFF"/>
                <w:sz w:val="17"/>
              </w:rPr>
              <w:t>Marco normativo</w:t>
            </w:r>
          </w:p>
        </w:tc>
      </w:tr>
      <w:tr>
        <w:tc>
          <w:tcPr>
            <w:tcW w:type="dxa" w:w="1417"/>
            <w:shd w:val="clear" w:color="auto" w:fill="FFFFFF"/>
            <w:vAlign w:val="center"/>
          </w:tcPr>
          <w:p>
            <w:pPr>
              <w:spacing w:before="40" w:after="40"/>
            </w:pPr>
            <w:r>
              <w:rPr>
                <w:rFonts w:ascii="Calibri" w:hAnsi="Calibri"/>
                <w:color w:val="404040"/>
                <w:sz w:val="17"/>
              </w:rPr>
              <w:t>DATO VÁLIDO</w:t>
            </w:r>
          </w:p>
        </w:tc>
        <w:tc>
          <w:tcPr>
            <w:tcW w:type="dxa" w:w="2835"/>
            <w:shd w:val="clear" w:color="auto" w:fill="FFFFFF"/>
            <w:vAlign w:val="center"/>
          </w:tcPr>
          <w:p>
            <w:pPr>
              <w:spacing w:before="40" w:after="40"/>
            </w:pPr>
            <w:r>
              <w:rPr>
                <w:rFonts w:ascii="Calibri" w:hAnsi="Calibri"/>
                <w:color w:val="404040"/>
                <w:sz w:val="17"/>
              </w:rPr>
              <w:t>&lt;5% faltantes en 14d, sin outliers &gt;3σ</w:t>
            </w:r>
          </w:p>
        </w:tc>
        <w:tc>
          <w:tcPr>
            <w:tcW w:type="dxa" w:w="2551"/>
            <w:shd w:val="clear" w:color="auto" w:fill="FFFFFF"/>
            <w:vAlign w:val="center"/>
          </w:tcPr>
          <w:p>
            <w:pPr>
              <w:spacing w:before="40" w:after="40"/>
            </w:pPr>
            <w:r>
              <w:rPr>
                <w:rFonts w:ascii="Calibri" w:hAnsi="Calibri"/>
                <w:color w:val="404040"/>
                <w:sz w:val="17"/>
              </w:rPr>
              <w:t>Recomendación automática normal</w:t>
            </w:r>
          </w:p>
        </w:tc>
        <w:tc>
          <w:tcPr>
            <w:tcW w:type="dxa" w:w="2041"/>
            <w:shd w:val="clear" w:color="auto" w:fill="FFFFFF"/>
            <w:vAlign w:val="center"/>
          </w:tcPr>
          <w:p>
            <w:pPr>
              <w:spacing w:before="40" w:after="40"/>
            </w:pPr>
            <w:r>
              <w:rPr>
                <w:rFonts w:ascii="Calibri" w:hAnsi="Calibri"/>
                <w:color w:val="404040"/>
                <w:sz w:val="17"/>
              </w:rPr>
              <w:t>ISO 25012</w:t>
            </w:r>
          </w:p>
        </w:tc>
      </w:tr>
      <w:tr>
        <w:tc>
          <w:tcPr>
            <w:tcW w:type="dxa" w:w="1417"/>
            <w:shd w:val="clear" w:color="auto" w:fill="DDEAF7"/>
            <w:vAlign w:val="center"/>
          </w:tcPr>
          <w:p>
            <w:pPr>
              <w:spacing w:before="40" w:after="40"/>
            </w:pPr>
            <w:r>
              <w:rPr>
                <w:rFonts w:ascii="Calibri" w:hAnsi="Calibri"/>
                <w:color w:val="404040"/>
                <w:sz w:val="17"/>
              </w:rPr>
              <w:t>DATO DEGRADADO</w:t>
            </w:r>
          </w:p>
        </w:tc>
        <w:tc>
          <w:tcPr>
            <w:tcW w:type="dxa" w:w="2835"/>
            <w:shd w:val="clear" w:color="auto" w:fill="DDEAF7"/>
            <w:vAlign w:val="center"/>
          </w:tcPr>
          <w:p>
            <w:pPr>
              <w:spacing w:before="40" w:after="40"/>
            </w:pPr>
            <w:r>
              <w:rPr>
                <w:rFonts w:ascii="Calibri" w:hAnsi="Calibri"/>
                <w:color w:val="404040"/>
                <w:sz w:val="17"/>
              </w:rPr>
              <w:t>5–20% faltantes O outlier &gt;3σ en variable crítica</w:t>
            </w:r>
          </w:p>
        </w:tc>
        <w:tc>
          <w:tcPr>
            <w:tcW w:type="dxa" w:w="2551"/>
            <w:shd w:val="clear" w:color="auto" w:fill="DDEAF7"/>
            <w:vAlign w:val="center"/>
          </w:tcPr>
          <w:p>
            <w:pPr>
              <w:spacing w:before="40" w:after="40"/>
            </w:pPr>
            <w:r>
              <w:rPr>
                <w:rFonts w:ascii="Calibri" w:hAnsi="Calibri"/>
                <w:color w:val="404040"/>
                <w:sz w:val="17"/>
              </w:rPr>
              <w:t>Recomendación con advertencia + Hargreaves</w:t>
            </w:r>
          </w:p>
        </w:tc>
        <w:tc>
          <w:tcPr>
            <w:tcW w:type="dxa" w:w="2041"/>
            <w:shd w:val="clear" w:color="auto" w:fill="DDEAF7"/>
            <w:vAlign w:val="center"/>
          </w:tcPr>
          <w:p>
            <w:pPr>
              <w:spacing w:before="40" w:after="40"/>
            </w:pPr>
            <w:r>
              <w:rPr>
                <w:rFonts w:ascii="Calibri" w:hAnsi="Calibri"/>
                <w:color w:val="404040"/>
                <w:sz w:val="17"/>
              </w:rPr>
              <w:t>PSI &lt; 0.1</w:t>
            </w:r>
          </w:p>
        </w:tc>
      </w:tr>
      <w:tr>
        <w:tc>
          <w:tcPr>
            <w:tcW w:type="dxa" w:w="1417"/>
            <w:shd w:val="clear" w:color="auto" w:fill="FFFFFF"/>
            <w:vAlign w:val="center"/>
          </w:tcPr>
          <w:p>
            <w:pPr>
              <w:spacing w:before="40" w:after="40"/>
            </w:pPr>
            <w:r>
              <w:rPr>
                <w:rFonts w:ascii="Calibri" w:hAnsi="Calibri"/>
                <w:color w:val="404040"/>
                <w:sz w:val="17"/>
              </w:rPr>
              <w:t>DATO INVÁLIDO</w:t>
            </w:r>
          </w:p>
        </w:tc>
        <w:tc>
          <w:tcPr>
            <w:tcW w:type="dxa" w:w="2835"/>
            <w:shd w:val="clear" w:color="auto" w:fill="FFFFFF"/>
            <w:vAlign w:val="center"/>
          </w:tcPr>
          <w:p>
            <w:pPr>
              <w:spacing w:before="40" w:after="40"/>
            </w:pPr>
            <w:r>
              <w:rPr>
                <w:rFonts w:ascii="Calibri" w:hAnsi="Calibri"/>
                <w:color w:val="404040"/>
                <w:sz w:val="17"/>
              </w:rPr>
              <w:t>&gt;20% faltantes O PSI &gt;0.2 (drift detectado)</w:t>
            </w:r>
          </w:p>
        </w:tc>
        <w:tc>
          <w:tcPr>
            <w:tcW w:type="dxa" w:w="2551"/>
            <w:shd w:val="clear" w:color="auto" w:fill="FFFFFF"/>
            <w:vAlign w:val="center"/>
          </w:tcPr>
          <w:p>
            <w:pPr>
              <w:spacing w:before="40" w:after="40"/>
            </w:pPr>
            <w:r>
              <w:rPr>
                <w:rFonts w:ascii="Calibri" w:hAnsi="Calibri"/>
                <w:color w:val="404040"/>
                <w:sz w:val="17"/>
              </w:rPr>
              <w:t>Solo alertas; sugiere contactar módulo de riego</w:t>
            </w:r>
          </w:p>
        </w:tc>
        <w:tc>
          <w:tcPr>
            <w:tcW w:type="dxa" w:w="2041"/>
            <w:shd w:val="clear" w:color="auto" w:fill="FFFFFF"/>
            <w:vAlign w:val="center"/>
          </w:tcPr>
          <w:p>
            <w:pPr>
              <w:spacing w:before="40" w:after="40"/>
            </w:pPr>
            <w:r>
              <w:rPr>
                <w:rFonts w:ascii="Calibri" w:hAnsi="Calibri"/>
                <w:color w:val="404040"/>
                <w:sz w:val="17"/>
              </w:rPr>
              <w:t>NIST AI RMF</w:t>
            </w:r>
          </w:p>
        </w:tc>
      </w:tr>
    </w:tbl>
    <w:p>
      <w:pPr>
        <w:spacing w:after="60"/>
      </w:pPr>
    </w:p>
    <w:p>
      <w:pPr>
        <w:spacing w:after="60" w:before="0"/>
      </w:pPr>
      <w:r>
        <w:rPr>
          <w:rFonts w:ascii="Calibri" w:hAnsi="Calibri"/>
          <w:b w:val="0"/>
          <w:i/>
          <w:color w:val="404040"/>
          <w:sz w:val="18"/>
        </w:rPr>
        <w:t>El PSI (Population Stability Index) detecta deriva de distribución en variables climáticas. Umbral PSI &gt;0.2 según convención estándar de monitoreo de modelos de datos. Implementado en ml/monitoring/drift.py junto con KS-test como segunda señal.</w:t>
      </w:r>
    </w:p>
    <w:p>
      <w:pPr>
        <w:pStyle w:val="Heading2"/>
        <w:pBdr>
          <w:bottom w:val="single" w:sz="4" w:space="1" w:color="2E75B6"/>
        </w:pBdr>
      </w:pPr>
      <w:r>
        <w:t>11.2  Distribución de responsabilidad (Kroll et al., 2017)</w:t>
      </w:r>
    </w:p>
    <w:p>
      <w:pPr>
        <w:spacing w:after="60" w:before="0"/>
      </w:pPr>
      <w:r>
        <w:rPr>
          <w:rFonts w:ascii="Calibri" w:hAnsi="Calibri"/>
          <w:b w:val="0"/>
          <w:i w:val="0"/>
          <w:color w:val="404040"/>
          <w:sz w:val="19"/>
        </w:rPr>
        <w:t>El equipo MILPÍN es responsable de la corrección metodológica FAO-56 y los umbrales de calidad. El productor es responsable de la decisión final de riego. El módulo de riego es responsable de validar el volumen antes de abrir la compuerta. Ningún actor tiene responsabilidad total — el diseño distribuye la carga deliberadamente. La trazabilidad completa (parametros_json + historial_riego) garantiza auditoría post-hoc.</w:t>
      </w:r>
    </w:p>
    <w:p>
      <w:pPr>
        <w:pStyle w:val="Heading1"/>
        <w:shd w:val="clear" w:color="auto" w:fill="1F497D"/>
      </w:pPr>
      <w:r>
        <w:rPr>
          <w:b/>
          <w:color w:val="FFFFFF"/>
        </w:rPr>
        <w:t>XII.  Visualización — Simplicidad, Precisión y Accesibilidad</w:t>
      </w:r>
    </w:p>
    <w:p>
      <w:pPr>
        <w:pStyle w:val="Heading2"/>
        <w:pBdr>
          <w:bottom w:val="single" w:sz="4" w:space="1" w:color="2E75B6"/>
        </w:pBdr>
      </w:pPr>
      <w:r>
        <w:t>12.1  Jerarquía visual de tres niveles (Few, 2013 / Ware, 2013)</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020"/>
            <w:shd w:val="clear" w:color="auto" w:fill="1F497D"/>
            <w:vAlign w:val="center"/>
          </w:tcPr>
          <w:p>
            <w:pPr>
              <w:spacing w:before="40" w:after="40"/>
            </w:pPr>
            <w:r>
              <w:rPr>
                <w:rFonts w:ascii="Calibri" w:hAnsi="Calibri"/>
                <w:b/>
                <w:color w:val="FFFFFF"/>
                <w:sz w:val="17"/>
              </w:rPr>
              <w:t>Nivel</w:t>
            </w:r>
          </w:p>
        </w:tc>
        <w:tc>
          <w:tcPr>
            <w:tcW w:type="dxa" w:w="2835"/>
            <w:shd w:val="clear" w:color="auto" w:fill="1F497D"/>
            <w:vAlign w:val="center"/>
          </w:tcPr>
          <w:p>
            <w:pPr>
              <w:spacing w:before="40" w:after="40"/>
            </w:pPr>
            <w:r>
              <w:rPr>
                <w:rFonts w:ascii="Calibri" w:hAnsi="Calibri"/>
                <w:b/>
                <w:color w:val="FFFFFF"/>
                <w:sz w:val="17"/>
              </w:rPr>
              <w:t>Vista / Componente</w:t>
            </w:r>
          </w:p>
        </w:tc>
        <w:tc>
          <w:tcPr>
            <w:tcW w:type="dxa" w:w="1701"/>
            <w:shd w:val="clear" w:color="auto" w:fill="1F497D"/>
            <w:vAlign w:val="center"/>
          </w:tcPr>
          <w:p>
            <w:pPr>
              <w:spacing w:before="40" w:after="40"/>
            </w:pPr>
            <w:r>
              <w:rPr>
                <w:rFonts w:ascii="Calibri" w:hAnsi="Calibri"/>
                <w:b/>
                <w:color w:val="FFFFFF"/>
                <w:sz w:val="17"/>
              </w:rPr>
              <w:t>Tiempo de decisión</w:t>
            </w:r>
          </w:p>
        </w:tc>
        <w:tc>
          <w:tcPr>
            <w:tcW w:type="dxa" w:w="3855"/>
            <w:shd w:val="clear" w:color="auto" w:fill="1F497D"/>
            <w:vAlign w:val="center"/>
          </w:tcPr>
          <w:p>
            <w:pPr>
              <w:spacing w:before="40" w:after="40"/>
            </w:pPr>
            <w:r>
              <w:rPr>
                <w:rFonts w:ascii="Calibri" w:hAnsi="Calibri"/>
                <w:b/>
                <w:color w:val="FFFFFF"/>
                <w:sz w:val="17"/>
              </w:rPr>
              <w:t>Tecnología</w:t>
            </w:r>
          </w:p>
        </w:tc>
      </w:tr>
      <w:tr>
        <w:tc>
          <w:tcPr>
            <w:tcW w:type="dxa" w:w="1020"/>
            <w:shd w:val="clear" w:color="auto" w:fill="FFFFFF"/>
            <w:vAlign w:val="center"/>
          </w:tcPr>
          <w:p>
            <w:pPr>
              <w:spacing w:before="40" w:after="40"/>
            </w:pPr>
            <w:r>
              <w:rPr>
                <w:rFonts w:ascii="Calibri" w:hAnsi="Calibri"/>
                <w:color w:val="404040"/>
                <w:sz w:val="17"/>
              </w:rPr>
              <w:t>1 — Módulo</w:t>
            </w:r>
          </w:p>
        </w:tc>
        <w:tc>
          <w:tcPr>
            <w:tcW w:type="dxa" w:w="2835"/>
            <w:shd w:val="clear" w:color="auto" w:fill="FFFFFF"/>
            <w:vAlign w:val="center"/>
          </w:tcPr>
          <w:p>
            <w:pPr>
              <w:spacing w:before="40" w:after="40"/>
            </w:pPr>
            <w:r>
              <w:rPr>
                <w:rFonts w:ascii="Calibri" w:hAnsi="Calibri"/>
                <w:color w:val="404040"/>
                <w:sz w:val="17"/>
              </w:rPr>
              <w:t>Mapa Leaflet: choropleth rojo/amarillo/verde por urgencia</w:t>
            </w:r>
          </w:p>
        </w:tc>
        <w:tc>
          <w:tcPr>
            <w:tcW w:type="dxa" w:w="1701"/>
            <w:shd w:val="clear" w:color="auto" w:fill="FFFFFF"/>
            <w:vAlign w:val="center"/>
          </w:tcPr>
          <w:p>
            <w:pPr>
              <w:spacing w:before="40" w:after="40"/>
            </w:pPr>
            <w:r>
              <w:rPr>
                <w:rFonts w:ascii="Calibri" w:hAnsi="Calibri"/>
                <w:color w:val="404040"/>
                <w:sz w:val="17"/>
              </w:rPr>
              <w:t>&lt; 3 segundos</w:t>
            </w:r>
          </w:p>
        </w:tc>
        <w:tc>
          <w:tcPr>
            <w:tcW w:type="dxa" w:w="3855"/>
            <w:shd w:val="clear" w:color="auto" w:fill="FFFFFF"/>
            <w:vAlign w:val="center"/>
          </w:tcPr>
          <w:p>
            <w:pPr>
              <w:spacing w:before="40" w:after="40"/>
            </w:pPr>
            <w:r>
              <w:rPr>
                <w:rFonts w:ascii="Calibri" w:hAnsi="Calibri"/>
                <w:color w:val="404040"/>
                <w:sz w:val="17"/>
              </w:rPr>
              <w:t>PostGIS → GeoJSON → Leaflet choropleth</w:t>
            </w:r>
          </w:p>
        </w:tc>
      </w:tr>
      <w:tr>
        <w:tc>
          <w:tcPr>
            <w:tcW w:type="dxa" w:w="1020"/>
            <w:shd w:val="clear" w:color="auto" w:fill="DDEAF7"/>
            <w:vAlign w:val="center"/>
          </w:tcPr>
          <w:p>
            <w:pPr>
              <w:spacing w:before="40" w:after="40"/>
            </w:pPr>
            <w:r>
              <w:rPr>
                <w:rFonts w:ascii="Calibri" w:hAnsi="Calibri"/>
                <w:color w:val="404040"/>
                <w:sz w:val="17"/>
              </w:rPr>
              <w:t>2 — Parcela</w:t>
            </w:r>
          </w:p>
        </w:tc>
        <w:tc>
          <w:tcPr>
            <w:tcW w:type="dxa" w:w="2835"/>
            <w:shd w:val="clear" w:color="auto" w:fill="DDEAF7"/>
            <w:vAlign w:val="center"/>
          </w:tcPr>
          <w:p>
            <w:pPr>
              <w:spacing w:before="40" w:after="40"/>
            </w:pPr>
            <w:r>
              <w:rPr>
                <w:rFonts w:ascii="Calibri" w:hAnsi="Calibri"/>
                <w:color w:val="404040"/>
                <w:sz w:val="17"/>
              </w:rPr>
              <w:t>Panel lateral: m³, costo, días sin riego, nivel urgencia</w:t>
            </w:r>
          </w:p>
        </w:tc>
        <w:tc>
          <w:tcPr>
            <w:tcW w:type="dxa" w:w="1701"/>
            <w:shd w:val="clear" w:color="auto" w:fill="DDEAF7"/>
            <w:vAlign w:val="center"/>
          </w:tcPr>
          <w:p>
            <w:pPr>
              <w:spacing w:before="40" w:after="40"/>
            </w:pPr>
            <w:r>
              <w:rPr>
                <w:rFonts w:ascii="Calibri" w:hAnsi="Calibri"/>
                <w:color w:val="404040"/>
                <w:sz w:val="17"/>
              </w:rPr>
              <w:t>&lt; 30 segundos</w:t>
            </w:r>
          </w:p>
        </w:tc>
        <w:tc>
          <w:tcPr>
            <w:tcW w:type="dxa" w:w="3855"/>
            <w:shd w:val="clear" w:color="auto" w:fill="DDEAF7"/>
            <w:vAlign w:val="center"/>
          </w:tcPr>
          <w:p>
            <w:pPr>
              <w:spacing w:before="40" w:after="40"/>
            </w:pPr>
            <w:r>
              <w:rPr>
                <w:rFonts w:ascii="Calibri" w:hAnsi="Calibri"/>
                <w:color w:val="404040"/>
                <w:sz w:val="17"/>
              </w:rPr>
              <w:t>API /balance → sidebar JS dinámico</w:t>
            </w:r>
          </w:p>
        </w:tc>
      </w:tr>
      <w:tr>
        <w:tc>
          <w:tcPr>
            <w:tcW w:type="dxa" w:w="1020"/>
            <w:shd w:val="clear" w:color="auto" w:fill="FFFFFF"/>
            <w:vAlign w:val="center"/>
          </w:tcPr>
          <w:p>
            <w:pPr>
              <w:spacing w:before="40" w:after="40"/>
            </w:pPr>
            <w:r>
              <w:rPr>
                <w:rFonts w:ascii="Calibri" w:hAnsi="Calibri"/>
                <w:color w:val="404040"/>
                <w:sz w:val="17"/>
              </w:rPr>
              <w:t>3 — Técnico</w:t>
            </w:r>
          </w:p>
        </w:tc>
        <w:tc>
          <w:tcPr>
            <w:tcW w:type="dxa" w:w="2835"/>
            <w:shd w:val="clear" w:color="auto" w:fill="FFFFFF"/>
            <w:vAlign w:val="center"/>
          </w:tcPr>
          <w:p>
            <w:pPr>
              <w:spacing w:before="40" w:after="40"/>
            </w:pPr>
            <w:r>
              <w:rPr>
                <w:rFonts w:ascii="Calibri" w:hAnsi="Calibri"/>
                <w:color w:val="404040"/>
                <w:sz w:val="17"/>
              </w:rPr>
              <w:t>Tab detalle: ETo, Kc, humedad, forecast 7 días, historial</w:t>
            </w:r>
          </w:p>
        </w:tc>
        <w:tc>
          <w:tcPr>
            <w:tcW w:type="dxa" w:w="1701"/>
            <w:shd w:val="clear" w:color="auto" w:fill="FFFFFF"/>
            <w:vAlign w:val="center"/>
          </w:tcPr>
          <w:p>
            <w:pPr>
              <w:spacing w:before="40" w:after="40"/>
            </w:pPr>
            <w:r>
              <w:rPr>
                <w:rFonts w:ascii="Calibri" w:hAnsi="Calibri"/>
                <w:color w:val="404040"/>
                <w:sz w:val="17"/>
              </w:rPr>
              <w:t>Bajo demanda</w:t>
            </w:r>
          </w:p>
        </w:tc>
        <w:tc>
          <w:tcPr>
            <w:tcW w:type="dxa" w:w="3855"/>
            <w:shd w:val="clear" w:color="auto" w:fill="FFFFFF"/>
            <w:vAlign w:val="center"/>
          </w:tcPr>
          <w:p>
            <w:pPr>
              <w:spacing w:before="40" w:after="40"/>
            </w:pPr>
            <w:r>
              <w:rPr>
                <w:rFonts w:ascii="Calibri" w:hAnsi="Calibri"/>
                <w:color w:val="404040"/>
                <w:sz w:val="17"/>
              </w:rPr>
              <w:t>bi_dashboard.js + endpoint forecast</w:t>
            </w:r>
          </w:p>
        </w:tc>
      </w:tr>
    </w:tbl>
    <w:p>
      <w:pPr>
        <w:spacing w:after="60"/>
      </w:pPr>
    </w:p>
    <w:p>
      <w:pPr>
        <w:pStyle w:val="Heading2"/>
        <w:pBdr>
          <w:bottom w:val="single" w:sz="4" w:space="1" w:color="2E75B6"/>
        </w:pBdr>
      </w:pPr>
      <w:r>
        <w:t>12.2  Accesibilidad cromática y diseño inclusivo</w:t>
      </w:r>
    </w:p>
    <w:p>
      <w:pPr>
        <w:spacing w:after="60" w:before="0"/>
      </w:pPr>
      <w:r>
        <w:rPr>
          <w:rFonts w:ascii="Calibri" w:hAnsi="Calibri"/>
          <w:b w:val="0"/>
          <w:i w:val="0"/>
          <w:color w:val="404040"/>
          <w:sz w:val="19"/>
        </w:rPr>
        <w:t>El 8% de los hombres tiene algún grado de daltonismo (Wong, 2011). MILPÍN resuelve el dilema rojo/verde con tres capas de redundancia: (a) iconos de forma adicionales (⚠ crítico, ● normal, ○ bajo); (b) canal de voz como alternativa completa al mapa visual; (c) texto de urgencia visible directamente en el marcador del mapa. El mapa nunca depende del color como único canal informativo.</w:t>
      </w: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12.1 — Mockup dashboard GIS: mapa Leaflet (nivel 1) + panel lateral (nivel 2) + tab técnico (nivel 3) ]</w:t>
      </w:r>
    </w:p>
    <w:p>
      <w:pPr>
        <w:spacing w:after="80"/>
        <w:jc w:val="center"/>
      </w:pPr>
      <w:r>
        <w:rPr>
          <w:i/>
          <w:color w:val="606060"/>
          <w:sz w:val="16"/>
        </w:rPr>
        <w:t>Paleta accesible para daltonismo. Iconos de forma + color + texto como redundancia de canal.</w:t>
      </w:r>
    </w:p>
    <w:p>
      <w:pPr>
        <w:pStyle w:val="Heading1"/>
        <w:shd w:val="clear" w:color="auto" w:fill="1F497D"/>
      </w:pPr>
      <w:r>
        <w:rPr>
          <w:b/>
          <w:color w:val="FFFFFF"/>
        </w:rPr>
        <w:t>XIII.  Modelado y Simulación — Validación y Comunicación</w:t>
      </w:r>
    </w:p>
    <w:p>
      <w:pPr>
        <w:pStyle w:val="Heading2"/>
        <w:pBdr>
          <w:bottom w:val="single" w:sz="4" w:space="1" w:color="2E75B6"/>
        </w:pBdr>
      </w:pPr>
      <w:r>
        <w:t>13.1  ¿Qué evidencia es suficiente antes de usar el modelo operativamente?</w:t>
      </w:r>
    </w:p>
    <w:p>
      <w:pPr>
        <w:spacing w:after="60" w:before="0"/>
      </w:pPr>
      <w:r>
        <w:rPr>
          <w:rFonts w:ascii="Calibri" w:hAnsi="Calibri"/>
          <w:b w:val="0"/>
          <w:i w:val="0"/>
          <w:color w:val="404040"/>
          <w:sz w:val="19"/>
        </w:rPr>
        <w:t>El umbral no es absoluto sino función del costo del error (Sargent, 2013). Para MILPÍN, sobreestimar el déficit → riego innecesario de ~$2,016 MXN/ha (1,200 m³ × $1.68). Umbral adoptado: R² ≥ 0.90 en CV 5-fold, RMSE ≤ 15% del rango de la variable objetivo, más al menos 1 ciclo completo de datos de campo reales del DR-041 antes de considerar los modelos XGBoost "en producción" (hoy operan con datos sintéticos de alta calidad).</w:t>
      </w:r>
    </w:p>
    <w:p>
      <w:pPr>
        <w:pStyle w:val="Heading2"/>
        <w:pBdr>
          <w:bottom w:val="single" w:sz="4" w:space="1" w:color="2E75B6"/>
        </w:pBdr>
      </w:pPr>
      <w:r>
        <w:t>13.2  Robustez ante extremos y comunicación de incertidumbre del forecast</w:t>
      </w:r>
    </w:p>
    <w:p>
      <w:pPr>
        <w:spacing w:after="60" w:before="0"/>
      </w:pPr>
      <w:r>
        <w:rPr>
          <w:rFonts w:ascii="Calibri" w:hAnsi="Calibri"/>
          <w:b w:val="0"/>
          <w:i w:val="0"/>
          <w:color w:val="404040"/>
          <w:sz w:val="19"/>
        </w:rPr>
        <w:t>FAO-56 está optimizado para condiciones normales del Valle del Yaqui (25–45°C, HR 30–60%). Ante eventos extremos (48°C, granizo, inundación): el sistema eleva automáticamente el nivel de urgencia y recomienda revisión presencial del agrónomo. El forecast Ridge ETo a 7 días se presenta con barra de incertidumbre visible y leyenda explícita "Proyección estimada — no garantizada". La recomendación operativa sigue siendo el cálculo FAO-56 del día actual, no el forecast (este solo informa la planificación, no activa el riego).</w:t>
      </w:r>
    </w:p>
    <w:p>
      <w:pPr>
        <w:pStyle w:val="Heading1"/>
        <w:shd w:val="clear" w:color="auto" w:fill="1F497D"/>
      </w:pPr>
      <w:r>
        <w:rPr>
          <w:b/>
          <w:color w:val="FFFFFF"/>
        </w:rPr>
        <w:t>XIV.  Emprendimiento y Prácticas — Trazabilidad y Ética Profesional</w:t>
      </w:r>
    </w:p>
    <w:p>
      <w:pPr>
        <w:pStyle w:val="Heading2"/>
        <w:pBdr>
          <w:bottom w:val="single" w:sz="4" w:space="1" w:color="2E75B6"/>
        </w:pBdr>
      </w:pPr>
      <w:r>
        <w:t>14.1  Trazabilidad en decisiones con impacto económico y ambiental</w:t>
      </w:r>
    </w:p>
    <w:p>
      <w:pPr>
        <w:spacing w:after="60" w:before="0"/>
      </w:pPr>
      <w:r>
        <w:rPr>
          <w:rFonts w:ascii="Calibri" w:hAnsi="Calibri"/>
          <w:b w:val="0"/>
          <w:i w:val="0"/>
          <w:color w:val="404040"/>
          <w:sz w:val="19"/>
        </w:rPr>
        <w:t>Toda recomendación ejecutada con MILPÍN es auditable en tres dimensiones: (1) dato origen — snapshot completo en parametros_json (ETo, Kc, humedad, método, fecha); (2) actor — id_usuario, fecha, campo aceptada (pendiente/aceptada/modificada/ignorada); (3) resultado — historial_riego con volumen real aplicado y diferencia vs. recomendado. Este loop es la base para calcular el ahorro real y, en Modelo B, facturar con evidencia verificable.</w:t>
      </w:r>
    </w:p>
    <w:p>
      <w:pPr>
        <w:pStyle w:val="Heading2"/>
        <w:pBdr>
          <w:bottom w:val="single" w:sz="4" w:space="1" w:color="2E75B6"/>
        </w:pBdr>
      </w:pPr>
      <w:r>
        <w:t>14.2  Comunicar límites sin generar rechazo ni promesas implícitas</w:t>
      </w:r>
    </w:p>
    <w:p>
      <w:pPr>
        <w:spacing w:after="60" w:before="0"/>
      </w:pPr>
      <w:r>
        <w:rPr>
          <w:rFonts w:ascii="Calibri" w:hAnsi="Calibri"/>
          <w:b w:val="0"/>
          <w:i w:val="0"/>
          <w:color w:val="404040"/>
          <w:sz w:val="19"/>
        </w:rPr>
        <w:t>Dilema del emprendedor técnico: ser honesto sobre limitaciones (sin sensores, sin auth, datos sintéticos) sin destruir la confianza del inversionista o del productor. Solución: transparencia gradual calibrada al interlocutor. En el pitch se presenta el sistema como "prototipo validado con 77 tests y datos reales NASA" — verdad técnica. Las limitaciones se documentan en bitácora técnica y contratos piloto, no se ocultan, pero tampoco se abren en la primera conversación comercial. UNESCO (2021) y OECD (2019): honestidad sobre incertidumbre debe calibrarse al contexto, no eliminarse.</w:t>
      </w:r>
    </w:p>
    <w:p>
      <w:r>
        <w:br/>
      </w:r>
    </w:p>
    <w:p>
      <w:pPr>
        <w:pStyle w:val="Heading1"/>
        <w:shd w:val="clear" w:color="auto" w:fill="1F497D"/>
      </w:pPr>
      <w:r>
        <w:rPr>
          <w:b/>
          <w:color w:val="FFFFFF"/>
        </w:rPr>
        <w:t>XV.  Conclusiones y Roadmap</w:t>
      </w:r>
    </w:p>
    <w:p>
      <w:pPr>
        <w:pStyle w:val="Heading2"/>
        <w:pBdr>
          <w:bottom w:val="single" w:sz="4" w:space="1" w:color="2E75B6"/>
        </w:pBdr>
      </w:pPr>
      <w:r>
        <w:t>15.1  Logros del Prototipo</w:t>
      </w:r>
    </w:p>
    <w:p>
      <w:pPr>
        <w:pStyle w:val="ListBullet"/>
        <w:spacing w:after="40" w:before="0"/>
        <w:ind w:left="227"/>
      </w:pPr>
      <w:r>
        <w:rPr>
          <w:rFonts w:ascii="Calibri" w:hAnsi="Calibri"/>
          <w:color w:val="404040"/>
          <w:sz w:val="18"/>
        </w:rPr>
        <w:t>Motor FAO-56 Penman-Monteith implementado fielmente con 42 tests unitarios contra valores tabulados Allen 1998.</w:t>
      </w:r>
    </w:p>
    <w:p>
      <w:pPr>
        <w:pStyle w:val="ListBullet"/>
        <w:spacing w:after="40" w:before="0"/>
        <w:ind w:left="227"/>
      </w:pPr>
      <w:r>
        <w:rPr>
          <w:rFonts w:ascii="Calibri" w:hAnsi="Calibri"/>
          <w:color w:val="404040"/>
          <w:sz w:val="18"/>
        </w:rPr>
        <w:t>Base de datos geoespacial: PostgreSQL 15 + PostGIS 3.6 con geometrías GEOMETRY(Polygon,4326) e índice GIST activo.</w:t>
      </w:r>
    </w:p>
    <w:p>
      <w:pPr>
        <w:pStyle w:val="ListBullet"/>
        <w:spacing w:after="40" w:before="0"/>
        <w:ind w:left="227"/>
      </w:pPr>
      <w:r>
        <w:rPr>
          <w:rFonts w:ascii="Calibri" w:hAnsi="Calibri"/>
          <w:color w:val="404040"/>
          <w:sz w:val="18"/>
        </w:rPr>
        <w:t>Loop de trazabilidad completo: recomendación → feedback → historial_riego. Base para facturación Modelo B.</w:t>
      </w:r>
    </w:p>
    <w:p>
      <w:pPr>
        <w:pStyle w:val="ListBullet"/>
        <w:spacing w:after="40" w:before="0"/>
        <w:ind w:left="227"/>
      </w:pPr>
      <w:r>
        <w:rPr>
          <w:rFonts w:ascii="Calibri" w:hAnsi="Calibri"/>
          <w:color w:val="404040"/>
          <w:sz w:val="18"/>
        </w:rPr>
        <w:t>Eliminación del sesgo de humedad inicial: propagar_balance_hidrico() reemplaza estimación (CC+PMP)/2.</w:t>
      </w:r>
    </w:p>
    <w:p>
      <w:pPr>
        <w:pStyle w:val="ListBullet"/>
        <w:spacing w:after="40" w:before="0"/>
        <w:ind w:left="227"/>
      </w:pPr>
      <w:r>
        <w:rPr>
          <w:rFonts w:ascii="Calibri" w:hAnsi="Calibri"/>
          <w:color w:val="404040"/>
          <w:sz w:val="18"/>
        </w:rPr>
        <w:t>Forecast ETo 7 días con Ridge Regression: RMSE 41.6% mejor que baseline media 14 días.</w:t>
      </w:r>
    </w:p>
    <w:p>
      <w:pPr>
        <w:pStyle w:val="ListBullet"/>
        <w:spacing w:after="40" w:before="0"/>
        <w:ind w:left="227"/>
      </w:pPr>
      <w:r>
        <w:rPr>
          <w:rFonts w:ascii="Calibri" w:hAnsi="Calibri"/>
          <w:color w:val="404040"/>
          <w:sz w:val="18"/>
        </w:rPr>
        <w:t>XGBoost M1/M2: R²=0.953 y 0.941 en 50,000 ciclos sintéticos con diversidad estadística alta.</w:t>
      </w:r>
    </w:p>
    <w:p>
      <w:pPr>
        <w:pStyle w:val="ListBullet"/>
        <w:spacing w:after="40" w:before="0"/>
        <w:ind w:left="227"/>
      </w:pPr>
      <w:r>
        <w:rPr>
          <w:rFonts w:ascii="Calibri" w:hAnsi="Calibri"/>
          <w:color w:val="404040"/>
          <w:sz w:val="18"/>
        </w:rPr>
        <w:t>Separación ML/MLOps: arquitectura ml/ con training/inference/monitoring + promote gate YAML.</w:t>
      </w:r>
    </w:p>
    <w:p>
      <w:pPr>
        <w:pStyle w:val="ListBullet"/>
        <w:spacing w:after="40" w:before="0"/>
        <w:ind w:left="227"/>
      </w:pPr>
      <w:r>
        <w:rPr>
          <w:rFonts w:ascii="Calibri" w:hAnsi="Calibri"/>
          <w:color w:val="404040"/>
          <w:sz w:val="18"/>
        </w:rPr>
        <w:t>Pipeline de voz en español (Whisper + Ollama) reduce barreras de adopción para baja alfabetización digital.</w:t>
      </w:r>
    </w:p>
    <w:p>
      <w:pPr>
        <w:pStyle w:val="Heading2"/>
        <w:pBdr>
          <w:bottom w:val="single" w:sz="4" w:space="1" w:color="2E75B6"/>
        </w:pBdr>
      </w:pPr>
      <w:r>
        <w:t>15.2  Roadmap de Desarrollo</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1417"/>
            <w:shd w:val="clear" w:color="auto" w:fill="1F497D"/>
            <w:vAlign w:val="center"/>
          </w:tcPr>
          <w:p>
            <w:pPr>
              <w:spacing w:before="40" w:after="40"/>
            </w:pPr>
            <w:r>
              <w:rPr>
                <w:rFonts w:ascii="Calibri" w:hAnsi="Calibri"/>
                <w:b/>
                <w:color w:val="FFFFFF"/>
                <w:sz w:val="17"/>
              </w:rPr>
              <w:t>Fase</w:t>
            </w:r>
          </w:p>
        </w:tc>
        <w:tc>
          <w:tcPr>
            <w:tcW w:type="dxa" w:w="1417"/>
            <w:shd w:val="clear" w:color="auto" w:fill="1F497D"/>
            <w:vAlign w:val="center"/>
          </w:tcPr>
          <w:p>
            <w:pPr>
              <w:spacing w:before="40" w:after="40"/>
            </w:pPr>
            <w:r>
              <w:rPr>
                <w:rFonts w:ascii="Calibri" w:hAnsi="Calibri"/>
                <w:b/>
                <w:color w:val="FFFFFF"/>
                <w:sz w:val="17"/>
              </w:rPr>
              <w:t>Horizonte</w:t>
            </w:r>
          </w:p>
        </w:tc>
        <w:tc>
          <w:tcPr>
            <w:tcW w:type="dxa" w:w="4252"/>
            <w:shd w:val="clear" w:color="auto" w:fill="1F497D"/>
            <w:vAlign w:val="center"/>
          </w:tcPr>
          <w:p>
            <w:pPr>
              <w:spacing w:before="40" w:after="40"/>
            </w:pPr>
            <w:r>
              <w:rPr>
                <w:rFonts w:ascii="Calibri" w:hAnsi="Calibri"/>
                <w:b/>
                <w:color w:val="FFFFFF"/>
                <w:sz w:val="17"/>
              </w:rPr>
              <w:t>Objetivos</w:t>
            </w:r>
          </w:p>
        </w:tc>
        <w:tc>
          <w:tcPr>
            <w:tcW w:type="dxa" w:w="2324"/>
            <w:shd w:val="clear" w:color="auto" w:fill="1F497D"/>
            <w:vAlign w:val="center"/>
          </w:tcPr>
          <w:p>
            <w:pPr>
              <w:spacing w:before="40" w:after="40"/>
            </w:pPr>
            <w:r>
              <w:rPr>
                <w:rFonts w:ascii="Calibri" w:hAnsi="Calibri"/>
                <w:b/>
                <w:color w:val="FFFFFF"/>
                <w:sz w:val="17"/>
              </w:rPr>
              <w:t>Hito</w:t>
            </w:r>
          </w:p>
        </w:tc>
      </w:tr>
      <w:tr>
        <w:tc>
          <w:tcPr>
            <w:tcW w:type="dxa" w:w="1417"/>
            <w:shd w:val="clear" w:color="auto" w:fill="FFFFFF"/>
            <w:vAlign w:val="center"/>
          </w:tcPr>
          <w:p>
            <w:pPr>
              <w:spacing w:before="40" w:after="40"/>
            </w:pPr>
            <w:r>
              <w:rPr>
                <w:rFonts w:ascii="Calibri" w:hAnsi="Calibri"/>
                <w:color w:val="404040"/>
                <w:sz w:val="17"/>
              </w:rPr>
              <w:t>A — Higiene</w:t>
            </w:r>
          </w:p>
        </w:tc>
        <w:tc>
          <w:tcPr>
            <w:tcW w:type="dxa" w:w="1417"/>
            <w:shd w:val="clear" w:color="auto" w:fill="FFFFFF"/>
            <w:vAlign w:val="center"/>
          </w:tcPr>
          <w:p>
            <w:pPr>
              <w:spacing w:before="40" w:after="40"/>
            </w:pPr>
            <w:r>
              <w:rPr>
                <w:rFonts w:ascii="Calibri" w:hAnsi="Calibri"/>
                <w:color w:val="404040"/>
                <w:sz w:val="17"/>
              </w:rPr>
              <w:t>May–Jul 2026</w:t>
            </w:r>
          </w:p>
        </w:tc>
        <w:tc>
          <w:tcPr>
            <w:tcW w:type="dxa" w:w="4252"/>
            <w:shd w:val="clear" w:color="auto" w:fill="FFFFFF"/>
            <w:vAlign w:val="center"/>
          </w:tcPr>
          <w:p>
            <w:pPr>
              <w:spacing w:before="40" w:after="40"/>
            </w:pPr>
            <w:r>
              <w:rPr>
                <w:rFonts w:ascii="Calibri" w:hAnsi="Calibri"/>
                <w:color w:val="404040"/>
                <w:sz w:val="17"/>
              </w:rPr>
              <w:t>Auth JWT, path traversal, CORS, .env seguro, centralizar catálogo cultivos</w:t>
            </w:r>
          </w:p>
        </w:tc>
        <w:tc>
          <w:tcPr>
            <w:tcW w:type="dxa" w:w="2324"/>
            <w:shd w:val="clear" w:color="auto" w:fill="FFFFFF"/>
            <w:vAlign w:val="center"/>
          </w:tcPr>
          <w:p>
            <w:pPr>
              <w:spacing w:before="40" w:after="40"/>
            </w:pPr>
            <w:r>
              <w:rPr>
                <w:rFonts w:ascii="Calibri" w:hAnsi="Calibri"/>
                <w:color w:val="404040"/>
                <w:sz w:val="17"/>
              </w:rPr>
              <w:t>0 vulnerabilidades críticas</w:t>
            </w:r>
          </w:p>
        </w:tc>
      </w:tr>
      <w:tr>
        <w:tc>
          <w:tcPr>
            <w:tcW w:type="dxa" w:w="1417"/>
            <w:shd w:val="clear" w:color="auto" w:fill="DDEAF7"/>
            <w:vAlign w:val="center"/>
          </w:tcPr>
          <w:p>
            <w:pPr>
              <w:spacing w:before="40" w:after="40"/>
            </w:pPr>
            <w:r>
              <w:rPr>
                <w:rFonts w:ascii="Calibri" w:hAnsi="Calibri"/>
                <w:color w:val="404040"/>
                <w:sz w:val="17"/>
              </w:rPr>
              <w:t>B — Piloto</w:t>
            </w:r>
          </w:p>
        </w:tc>
        <w:tc>
          <w:tcPr>
            <w:tcW w:type="dxa" w:w="1417"/>
            <w:shd w:val="clear" w:color="auto" w:fill="DDEAF7"/>
            <w:vAlign w:val="center"/>
          </w:tcPr>
          <w:p>
            <w:pPr>
              <w:spacing w:before="40" w:after="40"/>
            </w:pPr>
            <w:r>
              <w:rPr>
                <w:rFonts w:ascii="Calibri" w:hAnsi="Calibri"/>
                <w:color w:val="404040"/>
                <w:sz w:val="17"/>
              </w:rPr>
              <w:t>Ago–Dic 2026</w:t>
            </w:r>
          </w:p>
        </w:tc>
        <w:tc>
          <w:tcPr>
            <w:tcW w:type="dxa" w:w="4252"/>
            <w:shd w:val="clear" w:color="auto" w:fill="DDEAF7"/>
            <w:vAlign w:val="center"/>
          </w:tcPr>
          <w:p>
            <w:pPr>
              <w:spacing w:before="40" w:after="40"/>
            </w:pPr>
            <w:r>
              <w:rPr>
                <w:rFonts w:ascii="Calibri" w:hAnsi="Calibri"/>
                <w:color w:val="404040"/>
                <w:sz w:val="17"/>
              </w:rPr>
              <w:t>30–50 ha Módulo 3, validación FAO-56 con agrónomo, primeros datos reales campo</w:t>
            </w:r>
          </w:p>
        </w:tc>
        <w:tc>
          <w:tcPr>
            <w:tcW w:type="dxa" w:w="2324"/>
            <w:shd w:val="clear" w:color="auto" w:fill="DDEAF7"/>
            <w:vAlign w:val="center"/>
          </w:tcPr>
          <w:p>
            <w:pPr>
              <w:spacing w:before="40" w:after="40"/>
            </w:pPr>
            <w:r>
              <w:rPr>
                <w:rFonts w:ascii="Calibri" w:hAnsi="Calibri"/>
                <w:color w:val="404040"/>
                <w:sz w:val="17"/>
              </w:rPr>
              <w:t>Ahorro comprobado ≥15% ciclo</w:t>
            </w:r>
          </w:p>
        </w:tc>
      </w:tr>
      <w:tr>
        <w:tc>
          <w:tcPr>
            <w:tcW w:type="dxa" w:w="1417"/>
            <w:shd w:val="clear" w:color="auto" w:fill="FFFFFF"/>
            <w:vAlign w:val="center"/>
          </w:tcPr>
          <w:p>
            <w:pPr>
              <w:spacing w:before="40" w:after="40"/>
            </w:pPr>
            <w:r>
              <w:rPr>
                <w:rFonts w:ascii="Calibri" w:hAnsi="Calibri"/>
                <w:color w:val="404040"/>
                <w:sz w:val="17"/>
              </w:rPr>
              <w:t>C — Escala DR-041</w:t>
            </w:r>
          </w:p>
        </w:tc>
        <w:tc>
          <w:tcPr>
            <w:tcW w:type="dxa" w:w="1417"/>
            <w:shd w:val="clear" w:color="auto" w:fill="FFFFFF"/>
            <w:vAlign w:val="center"/>
          </w:tcPr>
          <w:p>
            <w:pPr>
              <w:spacing w:before="40" w:after="40"/>
            </w:pPr>
            <w:r>
              <w:rPr>
                <w:rFonts w:ascii="Calibri" w:hAnsi="Calibri"/>
                <w:color w:val="404040"/>
                <w:sz w:val="17"/>
              </w:rPr>
              <w:t>2027</w:t>
            </w:r>
          </w:p>
        </w:tc>
        <w:tc>
          <w:tcPr>
            <w:tcW w:type="dxa" w:w="4252"/>
            <w:shd w:val="clear" w:color="auto" w:fill="FFFFFF"/>
            <w:vAlign w:val="center"/>
          </w:tcPr>
          <w:p>
            <w:pPr>
              <w:spacing w:before="40" w:after="40"/>
            </w:pPr>
            <w:r>
              <w:rPr>
                <w:rFonts w:ascii="Calibri" w:hAnsi="Calibri"/>
                <w:color w:val="404040"/>
                <w:sz w:val="17"/>
              </w:rPr>
              <w:t>500–2,000 ha, IoT sensores humedad, ronda ángel, equipo promotores campo</w:t>
            </w:r>
          </w:p>
        </w:tc>
        <w:tc>
          <w:tcPr>
            <w:tcW w:type="dxa" w:w="2324"/>
            <w:shd w:val="clear" w:color="auto" w:fill="FFFFFF"/>
            <w:vAlign w:val="center"/>
          </w:tcPr>
          <w:p>
            <w:pPr>
              <w:spacing w:before="40" w:after="40"/>
            </w:pPr>
            <w:r>
              <w:rPr>
                <w:rFonts w:ascii="Calibri" w:hAnsi="Calibri"/>
                <w:color w:val="404040"/>
                <w:sz w:val="17"/>
              </w:rPr>
              <w:t>2,000 ha, breakeven Año 2</w:t>
            </w:r>
          </w:p>
        </w:tc>
      </w:tr>
      <w:tr>
        <w:tc>
          <w:tcPr>
            <w:tcW w:type="dxa" w:w="1417"/>
            <w:shd w:val="clear" w:color="auto" w:fill="DDEAF7"/>
            <w:vAlign w:val="center"/>
          </w:tcPr>
          <w:p>
            <w:pPr>
              <w:spacing w:before="40" w:after="40"/>
            </w:pPr>
            <w:r>
              <w:rPr>
                <w:rFonts w:ascii="Calibri" w:hAnsi="Calibri"/>
                <w:color w:val="404040"/>
                <w:sz w:val="17"/>
              </w:rPr>
              <w:t>D — Noroeste MX</w:t>
            </w:r>
          </w:p>
        </w:tc>
        <w:tc>
          <w:tcPr>
            <w:tcW w:type="dxa" w:w="1417"/>
            <w:shd w:val="clear" w:color="auto" w:fill="DDEAF7"/>
            <w:vAlign w:val="center"/>
          </w:tcPr>
          <w:p>
            <w:pPr>
              <w:spacing w:before="40" w:after="40"/>
            </w:pPr>
            <w:r>
              <w:rPr>
                <w:rFonts w:ascii="Calibri" w:hAnsi="Calibri"/>
                <w:color w:val="404040"/>
                <w:sz w:val="17"/>
              </w:rPr>
              <w:t>2028+</w:t>
            </w:r>
          </w:p>
        </w:tc>
        <w:tc>
          <w:tcPr>
            <w:tcW w:type="dxa" w:w="4252"/>
            <w:shd w:val="clear" w:color="auto" w:fill="DDEAF7"/>
            <w:vAlign w:val="center"/>
          </w:tcPr>
          <w:p>
            <w:pPr>
              <w:spacing w:before="40" w:after="40"/>
            </w:pPr>
            <w:r>
              <w:rPr>
                <w:rFonts w:ascii="Calibri" w:hAnsi="Calibri"/>
                <w:color w:val="404040"/>
                <w:sz w:val="17"/>
              </w:rPr>
              <w:t>SAM Sonora+Sinaloa, API pública, Modelo B activo, MLOps Prefect+MLflow</w:t>
            </w:r>
          </w:p>
        </w:tc>
        <w:tc>
          <w:tcPr>
            <w:tcW w:type="dxa" w:w="2324"/>
            <w:shd w:val="clear" w:color="auto" w:fill="DDEAF7"/>
            <w:vAlign w:val="center"/>
          </w:tcPr>
          <w:p>
            <w:pPr>
              <w:spacing w:before="40" w:after="40"/>
            </w:pPr>
            <w:r>
              <w:rPr>
                <w:rFonts w:ascii="Calibri" w:hAnsi="Calibri"/>
                <w:color w:val="404040"/>
                <w:sz w:val="17"/>
              </w:rPr>
              <w:t>8,000 ha, VAN acumulado positivo</w:t>
            </w:r>
          </w:p>
        </w:tc>
      </w:tr>
    </w:tbl>
    <w:p>
      <w:pPr>
        <w:spacing w:after="60"/>
      </w:pPr>
    </w:p>
    <w:p>
      <w:pPr>
        <w:spacing w:before="80" w:after="40"/>
        <w:jc w:val="center"/>
        <w:shd w:val="clear" w:color="auto" w:fill="F2F7FC"/>
        <w:pBdr>
          <w:top w:val="single" w:sz="4" w:space="1" w:color="2E75B6"/>
          <w:bottom w:val="single" w:sz="4" w:space="1" w:color="2E75B6"/>
          <w:left w:val="single" w:sz="4" w:space="1" w:color="2E75B6"/>
          <w:right w:val="single" w:sz="4" w:space="1" w:color="2E75B6"/>
        </w:pBdr>
      </w:pPr>
      <w:r>
        <w:rPr>
          <w:b/>
          <w:i/>
          <w:color w:val="2E75B6"/>
          <w:sz w:val="17"/>
        </w:rPr>
        <w:t>[ Figura 15.1 — Gantt de fases 2026–2028: Fase A → B → C → D con dependencias y hitos ]</w:t>
      </w:r>
    </w:p>
    <w:p>
      <w:pPr>
        <w:spacing w:after="80"/>
        <w:jc w:val="center"/>
      </w:pPr>
      <w:r>
        <w:rPr>
          <w:i/>
          <w:color w:val="606060"/>
          <w:sz w:val="16"/>
        </w:rPr>
        <w:t>Barras horizontales por fase; hitos marcados con diamante; Fase B requiere Fase A completada.</w:t>
      </w:r>
    </w:p>
    <w:p>
      <w:pPr>
        <w:spacing w:after="60"/>
        <w:shd w:val="clear" w:color="auto" w:fill="EBF3FB"/>
      </w:pPr>
      <w:r>
        <w:rPr>
          <w:b/>
          <w:color w:val="1F497D"/>
          <w:sz w:val="19"/>
        </w:rPr>
        <w:t xml:space="preserve">Potencial al escalar DR-041 completo (225,000 ha): </w:t>
      </w:r>
      <w:r>
        <w:rPr>
          <w:b/>
          <w:color w:val="378644"/>
          <w:sz w:val="20"/>
        </w:rPr>
        <w:t>450 M m³/ciclo ahorrados</w:t>
      </w:r>
      <w:r>
        <w:rPr>
          <w:i/>
          <w:color w:val="404040"/>
          <w:sz w:val="17"/>
        </w:rPr>
        <w:t xml:space="preserve">  ≡ consumo anual de agua potable de 1.5 millones de personas</w:t>
      </w:r>
    </w:p>
    <w:p>
      <w:pPr>
        <w:spacing w:after="80" w:before="0"/>
      </w:pPr>
      <w:r>
        <w:rPr>
          <w:rFonts w:ascii="Calibri" w:hAnsi="Calibri"/>
          <w:b w:val="0"/>
          <w:i w:val="0"/>
          <w:color w:val="404040"/>
          <w:sz w:val="19"/>
        </w:rPr>
        <w:t>MILPÍN demuestra que la ciencia de datos aplicada al agro no requiere presupuestos de gran escala: requiere metodología rigurosa (FAO-56 + CRISP-DM), datos fundamentados (NASA POWER) y una interfaz diseñada desde las necesidades reales del agricultor (voz en español, mapa simple). La brecha entre el prototipo actual y un producto en campo está delimitada, es mensurable y es superable.</w:t>
      </w:r>
    </w:p>
    <w:p>
      <w:r>
        <w:br/>
      </w:r>
    </w:p>
    <w:p>
      <w:pPr>
        <w:pStyle w:val="Heading1"/>
        <w:shd w:val="clear" w:color="auto" w:fill="1F497D"/>
      </w:pPr>
      <w:r>
        <w:rPr>
          <w:b/>
          <w:color w:val="FFFFFF"/>
        </w:rPr>
        <w:t>Referencias</w:t>
      </w:r>
    </w:p>
    <w:p>
      <w:pPr>
        <w:spacing w:after="40" w:before="0"/>
        <w:ind w:left="397" w:hanging="397"/>
      </w:pPr>
      <w:r>
        <w:rPr>
          <w:rFonts w:ascii="Calibri" w:hAnsi="Calibri"/>
          <w:color w:val="404040"/>
          <w:sz w:val="17"/>
        </w:rPr>
        <w:t>Allen, R. G., Pereira, L. S., Raes, D., y Smith, M. (1998). Crop evapotranspiration: Guidelines for computing crop water requirements. FAO Irrigation and Drainage Paper 56. Roma: FAO.</w:t>
      </w:r>
    </w:p>
    <w:p>
      <w:pPr>
        <w:spacing w:after="40" w:before="0"/>
        <w:ind w:left="397" w:hanging="397"/>
      </w:pPr>
      <w:r>
        <w:rPr>
          <w:rFonts w:ascii="Calibri" w:hAnsi="Calibri"/>
          <w:color w:val="404040"/>
          <w:sz w:val="17"/>
        </w:rPr>
        <w:t>Batini, C. y Scannapieco, M. (2016). Data and Information Quality: Dimensions, Principles and Techniques. Springer.</w:t>
      </w:r>
    </w:p>
    <w:p>
      <w:pPr>
        <w:spacing w:after="40" w:before="0"/>
        <w:ind w:left="397" w:hanging="397"/>
      </w:pPr>
      <w:r>
        <w:rPr>
          <w:rFonts w:ascii="Calibri" w:hAnsi="Calibri"/>
          <w:color w:val="404040"/>
          <w:sz w:val="17"/>
        </w:rPr>
        <w:t>Breiman, L. (2001). Statistical Modeling: The Two Cultures. Statistical Science, 16(3), 199–231.</w:t>
      </w:r>
    </w:p>
    <w:p>
      <w:pPr>
        <w:spacing w:after="40" w:before="0"/>
        <w:ind w:left="397" w:hanging="397"/>
      </w:pPr>
      <w:r>
        <w:rPr>
          <w:rFonts w:ascii="Calibri" w:hAnsi="Calibri"/>
          <w:color w:val="404040"/>
          <w:sz w:val="17"/>
        </w:rPr>
        <w:t>Cairo, A. (2012). The Functional Art: An Introduction to Information Graphics and Visualization. New Riders.</w:t>
      </w:r>
    </w:p>
    <w:p>
      <w:pPr>
        <w:spacing w:after="40" w:before="0"/>
        <w:ind w:left="397" w:hanging="397"/>
      </w:pPr>
      <w:r>
        <w:rPr>
          <w:rFonts w:ascii="Calibri" w:hAnsi="Calibri"/>
          <w:color w:val="404040"/>
          <w:sz w:val="17"/>
        </w:rPr>
        <w:t>CONAGUA (2023). Estadísticas del Agua en México, edición 2023. SEMARNAT.</w:t>
      </w:r>
    </w:p>
    <w:p>
      <w:pPr>
        <w:spacing w:after="40" w:before="0"/>
        <w:ind w:left="397" w:hanging="397"/>
      </w:pPr>
      <w:r>
        <w:rPr>
          <w:rFonts w:ascii="Calibri" w:hAnsi="Calibri"/>
          <w:color w:val="404040"/>
          <w:sz w:val="17"/>
        </w:rPr>
        <w:t>Diakopoulos, N. (2016). Accountability in algorithmic decision-making. Communications of the ACM, 59(2), 56–62.</w:t>
      </w:r>
    </w:p>
    <w:p>
      <w:pPr>
        <w:spacing w:after="40" w:before="0"/>
        <w:ind w:left="397" w:hanging="397"/>
      </w:pPr>
      <w:r>
        <w:rPr>
          <w:rFonts w:ascii="Calibri" w:hAnsi="Calibri"/>
          <w:color w:val="404040"/>
          <w:sz w:val="17"/>
        </w:rPr>
        <w:t>Few, S. (2013). Information Dashboard Design (2nd ed.). Analytics Press.</w:t>
      </w:r>
    </w:p>
    <w:p>
      <w:pPr>
        <w:spacing w:after="40" w:before="0"/>
        <w:ind w:left="397" w:hanging="397"/>
      </w:pPr>
      <w:r>
        <w:rPr>
          <w:rFonts w:ascii="Calibri" w:hAnsi="Calibri"/>
          <w:color w:val="404040"/>
          <w:sz w:val="17"/>
        </w:rPr>
        <w:t>IMTA (2022). Diagnóstico de adopción tecnológica en el Distrito de Riego 041. Instituto Mexicano de Tecnología del Agua.</w:t>
      </w:r>
    </w:p>
    <w:p>
      <w:pPr>
        <w:spacing w:after="40" w:before="0"/>
        <w:ind w:left="397" w:hanging="397"/>
      </w:pPr>
      <w:r>
        <w:rPr>
          <w:rFonts w:ascii="Calibri" w:hAnsi="Calibri"/>
          <w:color w:val="404040"/>
          <w:sz w:val="17"/>
        </w:rPr>
        <w:t>KPMG (2024). Venture Pulse Q1 2024: Global Analysis of Venture Funding. KPMG International.</w:t>
      </w:r>
    </w:p>
    <w:p>
      <w:pPr>
        <w:spacing w:after="40" w:before="0"/>
        <w:ind w:left="397" w:hanging="397"/>
      </w:pPr>
      <w:r>
        <w:rPr>
          <w:rFonts w:ascii="Calibri" w:hAnsi="Calibri"/>
          <w:color w:val="404040"/>
          <w:sz w:val="17"/>
        </w:rPr>
        <w:t>Kroll, J. A. et al. (2017). Accountable algorithms. University of Pennsylvania Law Review, 165(3), 633–705.</w:t>
      </w:r>
    </w:p>
    <w:p>
      <w:pPr>
        <w:spacing w:after="40" w:before="0"/>
        <w:ind w:left="397" w:hanging="397"/>
      </w:pPr>
      <w:r>
        <w:rPr>
          <w:rFonts w:ascii="Calibri" w:hAnsi="Calibri"/>
          <w:color w:val="404040"/>
          <w:sz w:val="17"/>
        </w:rPr>
        <w:t>Liu, F. T., Ting, K. M., y Zhou, Z.-H. (2008). Isolation Forest. ICDM 2008, 413–422.</w:t>
      </w:r>
    </w:p>
    <w:p>
      <w:pPr>
        <w:spacing w:after="40" w:before="0"/>
        <w:ind w:left="397" w:hanging="397"/>
      </w:pPr>
      <w:r>
        <w:rPr>
          <w:rFonts w:ascii="Calibri" w:hAnsi="Calibri"/>
          <w:color w:val="404040"/>
          <w:sz w:val="17"/>
        </w:rPr>
        <w:t>NIST (2023). AI Risk Management Framework (AI RMF 1.0). National Institute of Standards and Technology.</w:t>
      </w:r>
    </w:p>
    <w:p>
      <w:pPr>
        <w:spacing w:after="40" w:before="0"/>
        <w:ind w:left="397" w:hanging="397"/>
      </w:pPr>
      <w:r>
        <w:rPr>
          <w:rFonts w:ascii="Calibri" w:hAnsi="Calibri"/>
          <w:color w:val="404040"/>
          <w:sz w:val="17"/>
        </w:rPr>
        <w:t>OECD (2019). Recommendation of the Council on Artificial Intelligence. OECD/LEGAL/0449.</w:t>
      </w:r>
    </w:p>
    <w:p>
      <w:pPr>
        <w:spacing w:after="40" w:before="0"/>
        <w:ind w:left="397" w:hanging="397"/>
      </w:pPr>
      <w:r>
        <w:rPr>
          <w:rFonts w:ascii="Calibri" w:hAnsi="Calibri"/>
          <w:color w:val="404040"/>
          <w:sz w:val="17"/>
        </w:rPr>
        <w:t>Osterwalder, A. y Pigneur, Y. (2010). Business Model Generation. Wiley.</w:t>
      </w:r>
    </w:p>
    <w:p>
      <w:pPr>
        <w:spacing w:after="40" w:before="0"/>
        <w:ind w:left="397" w:hanging="397"/>
      </w:pPr>
      <w:r>
        <w:rPr>
          <w:rFonts w:ascii="Calibri" w:hAnsi="Calibri"/>
          <w:color w:val="404040"/>
          <w:sz w:val="17"/>
        </w:rPr>
        <w:t>Saltelli, A. et al. (2008). Global Sensitivity Analysis: The Primer. Wiley.</w:t>
      </w:r>
    </w:p>
    <w:p>
      <w:pPr>
        <w:spacing w:after="40" w:before="0"/>
        <w:ind w:left="397" w:hanging="397"/>
      </w:pPr>
      <w:r>
        <w:rPr>
          <w:rFonts w:ascii="Calibri" w:hAnsi="Calibri"/>
          <w:color w:val="404040"/>
          <w:sz w:val="17"/>
        </w:rPr>
        <w:t>Sargent, R. G. (2013). Verification and validation of simulation models. Journal of Simulation, 7(1), 12–24.</w:t>
      </w:r>
    </w:p>
    <w:p>
      <w:pPr>
        <w:spacing w:after="40" w:before="0"/>
        <w:ind w:left="397" w:hanging="397"/>
      </w:pPr>
      <w:r>
        <w:rPr>
          <w:rFonts w:ascii="Calibri" w:hAnsi="Calibri"/>
          <w:color w:val="404040"/>
          <w:sz w:val="17"/>
        </w:rPr>
        <w:t>Stewart, J. I. et al. (1977). Optimizing crop production through control of water and salinity. Utah State University.</w:t>
      </w:r>
    </w:p>
    <w:p>
      <w:pPr>
        <w:spacing w:after="40" w:before="0"/>
        <w:ind w:left="397" w:hanging="397"/>
      </w:pPr>
      <w:r>
        <w:rPr>
          <w:rFonts w:ascii="Calibri" w:hAnsi="Calibri"/>
          <w:color w:val="404040"/>
          <w:sz w:val="17"/>
        </w:rPr>
        <w:t>UNESCO (2021). Recommendation on the Ethics of Artificial Intelligence. Paris: UNESCO.</w:t>
      </w:r>
    </w:p>
    <w:p>
      <w:pPr>
        <w:spacing w:after="40" w:before="0"/>
        <w:ind w:left="397" w:hanging="397"/>
      </w:pPr>
      <w:r>
        <w:rPr>
          <w:rFonts w:ascii="Calibri" w:hAnsi="Calibri"/>
          <w:color w:val="404040"/>
          <w:sz w:val="17"/>
        </w:rPr>
        <w:t>Ware, C. (2013). Information Visualization: Perception for Design (3rd ed.). Morgan Kaufmann.</w:t>
      </w:r>
    </w:p>
    <w:p>
      <w:pPr>
        <w:spacing w:after="40" w:before="0"/>
        <w:ind w:left="397" w:hanging="397"/>
      </w:pPr>
      <w:r>
        <w:rPr>
          <w:rFonts w:ascii="Calibri" w:hAnsi="Calibri"/>
          <w:color w:val="404040"/>
          <w:sz w:val="17"/>
        </w:rPr>
        <w:t>Wong, B. (2011). Color blindness. Nature Methods, 8(6), 441.</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60"/>
      <w:outlineLvl w:val="0"/>
    </w:pPr>
    <w:rPr>
      <w:rFonts w:asciiTheme="majorHAnsi" w:eastAsiaTheme="majorEastAsia" w:hAnsiTheme="majorHAnsi" w:cstheme="majorBidi" w:ascii="Calibri" w:hAnsi="Calibri"/>
      <w:b/>
      <w:bCs/>
      <w:color w:val="FFFFFF"/>
      <w:sz w:val="25"/>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497D"/>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E75B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