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Arial" w:hAnsi="Arial"/>
          <w:b/>
          <w:color w:val="1F3864"/>
          <w:sz w:val="56"/>
        </w:rPr>
        <w:t>MILPÍN AgTech</w:t>
      </w:r>
    </w:p>
    <w:p>
      <w:pPr>
        <w:spacing w:after="80"/>
        <w:jc w:val="center"/>
      </w:pPr>
      <w:r>
        <w:rPr>
          <w:rFonts w:ascii="Arial" w:hAnsi="Arial"/>
          <w:b w:val="0"/>
          <w:i w:val="0"/>
          <w:color w:val="2E75B6"/>
          <w:sz w:val="28"/>
        </w:rPr>
        <w:t>Sistema Inteligente de Optimización Hídrica para Agricultura de Precisión</w:t>
      </w:r>
    </w:p>
    <w:p>
      <w:pPr>
        <w:spacing w:after="80"/>
        <w:jc w:val="center"/>
      </w:pPr>
      <w:r>
        <w:rPr>
          <w:rFonts w:ascii="Arial" w:hAnsi="Arial"/>
          <w:b/>
          <w:i w:val="0"/>
          <w:sz w:val="24"/>
        </w:rPr>
        <w:t>Plan de Negocios e Incidente Crítico Multidisciplinar</w:t>
      </w:r>
    </w:p>
    <w:p>
      <w:pPr>
        <w:spacing w:after="240"/>
        <w:jc w:val="center"/>
      </w:pPr>
      <w:r>
        <w:rPr>
          <w:rFonts w:ascii="Arial" w:hAnsi="Arial"/>
          <w:b w:val="0"/>
          <w:i/>
          <w:color w:val="C0392B"/>
          <w:sz w:val="20"/>
        </w:rPr>
        <w:t>VERSIÓN REVISADA — Con proyecciones realistas, márgenes de error y fricciones operativas</w:t>
      </w:r>
    </w:p>
    <w:p>
      <w:pPr>
        <w:spacing w:after="80"/>
        <w:jc w:val="center"/>
      </w:pPr>
      <w:r>
        <w:rPr>
          <w:rFonts w:ascii="Arial" w:hAnsi="Arial"/>
          <w:b w:val="0"/>
          <w:i w:val="0"/>
          <w:color w:val="606060"/>
          <w:sz w:val="20"/>
        </w:rPr>
        <w:t>Emprendimiento • Sistemas de Información • Cómputo Cognitivo • Visualización • Modelado</w:t>
      </w:r>
    </w:p>
    <w:p>
      <w:pPr>
        <w:spacing w:after="480"/>
        <w:jc w:val="center"/>
      </w:pPr>
      <w:r>
        <w:rPr>
          <w:rFonts w:ascii="Arial" w:hAnsi="Arial"/>
          <w:b w:val="0"/>
          <w:i w:val="0"/>
          <w:sz w:val="20"/>
        </w:rPr>
        <w:t>Distrito de Riego 041 (DR-041) · Módulo 3 · Valle del Yaqui, Sonora, México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3864"/>
            <w:tcMar>
              <w:top w:w="80" w:type="dxa"/>
              <w:bottom w:w="80" w:type="dxa"/>
              <w:left w:w="120" w:type="dxa"/>
              <w:right w:w="120" w:type="dxa"/>
            </w:tcMar>
            <w:tcW w:w="2736" w:type="dxa"/>
          </w:tcPr>
          <w:p>
            <w:pPr>
              <w:jc w:val="center"/>
            </w:pPr>
            <w:r>
              <w:rPr>
                <w:rFonts w:ascii="Arial" w:hAnsi="Arial"/>
                <w:b/>
                <w:color w:val="FFFFFF"/>
                <w:sz w:val="18"/>
              </w:rPr>
              <w:t>KPI Central</w:t>
            </w:r>
          </w:p>
        </w:tc>
        <w:tc>
          <w:tcPr>
            <w:tcW w:type="dxa" w:w="2160"/>
            <w:vAlign w:val="center"/>
            <w:shd w:val="clear" w:color="auto" w:fill="1F3864"/>
            <w:tcMar>
              <w:top w:w="80" w:type="dxa"/>
              <w:bottom w:w="80" w:type="dxa"/>
              <w:left w:w="120" w:type="dxa"/>
              <w:right w:w="120" w:type="dxa"/>
            </w:tcMar>
            <w:tcW w:w="2736" w:type="dxa"/>
          </w:tcPr>
          <w:p>
            <w:pPr>
              <w:jc w:val="center"/>
            </w:pPr>
            <w:r>
              <w:rPr>
                <w:rFonts w:ascii="Arial" w:hAnsi="Arial"/>
                <w:b/>
                <w:color w:val="FFFFFF"/>
                <w:sz w:val="18"/>
              </w:rPr>
              <w:t>Ahorro Energético/ha/ciclo</w:t>
            </w:r>
          </w:p>
        </w:tc>
        <w:tc>
          <w:tcPr>
            <w:tcW w:type="dxa" w:w="2160"/>
            <w:vAlign w:val="center"/>
            <w:shd w:val="clear" w:color="auto" w:fill="1F3864"/>
            <w:tcMar>
              <w:top w:w="80" w:type="dxa"/>
              <w:bottom w:w="80" w:type="dxa"/>
              <w:left w:w="120" w:type="dxa"/>
              <w:right w:w="120" w:type="dxa"/>
            </w:tcMar>
            <w:tcW w:w="2448" w:type="dxa"/>
          </w:tcPr>
          <w:p>
            <w:pPr>
              <w:jc w:val="center"/>
            </w:pPr>
            <w:r>
              <w:rPr>
                <w:rFonts w:ascii="Arial" w:hAnsi="Arial"/>
                <w:b/>
                <w:color w:val="FFFFFF"/>
                <w:sz w:val="18"/>
              </w:rPr>
              <w:t>Modelo de Negocio</w:t>
            </w:r>
          </w:p>
        </w:tc>
        <w:tc>
          <w:tcPr>
            <w:tcW w:type="dxa" w:w="2160"/>
            <w:vAlign w:val="center"/>
            <w:shd w:val="clear" w:color="auto" w:fill="1F3864"/>
            <w:tcMar>
              <w:top w:w="80" w:type="dxa"/>
              <w:bottom w:w="80" w:type="dxa"/>
              <w:left w:w="120" w:type="dxa"/>
              <w:right w:w="120" w:type="dxa"/>
            </w:tcMar>
            <w:tcW w:w="2880" w:type="dxa"/>
          </w:tcPr>
          <w:p>
            <w:pPr>
              <w:jc w:val="center"/>
            </w:pPr>
            <w:r>
              <w:rPr>
                <w:rFonts w:ascii="Arial" w:hAnsi="Arial"/>
                <w:b/>
                <w:color w:val="FFFFFF"/>
                <w:sz w:val="18"/>
              </w:rPr>
              <w:t>Rango Realista de Ahorro</w:t>
            </w:r>
          </w:p>
        </w:tc>
      </w:tr>
      <w:tr>
        <w:tc>
          <w:tcPr>
            <w:tcW w:type="dxa" w:w="2160"/>
            <w:vAlign w:val="center"/>
            <w:shd w:val="clear" w:color="auto" w:fill="FFFFFF"/>
            <w:tcMar>
              <w:top w:w="80" w:type="dxa"/>
              <w:bottom w:w="80" w:type="dxa"/>
              <w:left w:w="120" w:type="dxa"/>
              <w:right w:w="120" w:type="dxa"/>
            </w:tcMar>
            <w:tcW w:w="2736" w:type="dxa"/>
          </w:tcPr>
          <w:p>
            <w:pPr>
              <w:jc w:val="center"/>
            </w:pPr>
            <w:r>
              <w:rPr>
                <w:rFonts w:ascii="Arial" w:hAnsi="Arial"/>
                <w:b w:val="0"/>
                <w:sz w:val="18"/>
              </w:rPr>
              <w:t>8,000 → 6,000 m³/ha/ciclo</w:t>
            </w:r>
          </w:p>
        </w:tc>
        <w:tc>
          <w:tcPr>
            <w:tcW w:type="dxa" w:w="2160"/>
            <w:vAlign w:val="center"/>
            <w:shd w:val="clear" w:color="auto" w:fill="FFFFFF"/>
            <w:tcMar>
              <w:top w:w="80" w:type="dxa"/>
              <w:bottom w:w="80" w:type="dxa"/>
              <w:left w:w="120" w:type="dxa"/>
              <w:right w:w="120" w:type="dxa"/>
            </w:tcMar>
            <w:tcW w:w="2736" w:type="dxa"/>
          </w:tcPr>
          <w:p>
            <w:pPr>
              <w:jc w:val="center"/>
            </w:pPr>
            <w:r>
              <w:rPr>
                <w:rFonts w:ascii="Arial" w:hAnsi="Arial"/>
                <w:b w:val="0"/>
                <w:sz w:val="18"/>
              </w:rPr>
              <w:t>$3,360 MXN/ha (si logra -25%)</w:t>
            </w:r>
          </w:p>
        </w:tc>
        <w:tc>
          <w:tcPr>
            <w:tcW w:type="dxa" w:w="2160"/>
            <w:vAlign w:val="center"/>
            <w:shd w:val="clear" w:color="auto" w:fill="FFFFFF"/>
            <w:tcMar>
              <w:top w:w="80" w:type="dxa"/>
              <w:bottom w:w="80" w:type="dxa"/>
              <w:left w:w="120" w:type="dxa"/>
              <w:right w:w="120" w:type="dxa"/>
            </w:tcMar>
            <w:tcW w:w="2448" w:type="dxa"/>
          </w:tcPr>
          <w:p>
            <w:pPr>
              <w:jc w:val="center"/>
            </w:pPr>
            <w:r>
              <w:rPr>
                <w:rFonts w:ascii="Arial" w:hAnsi="Arial"/>
                <w:b w:val="0"/>
                <w:sz w:val="18"/>
              </w:rPr>
              <w:t>AgTech · B2B · SaaS</w:t>
            </w:r>
          </w:p>
        </w:tc>
        <w:tc>
          <w:tcPr>
            <w:tcW w:type="dxa" w:w="2160"/>
            <w:vAlign w:val="center"/>
            <w:shd w:val="clear" w:color="auto" w:fill="FFF2CC"/>
            <w:tcMar>
              <w:top w:w="80" w:type="dxa"/>
              <w:bottom w:w="80" w:type="dxa"/>
              <w:left w:w="120" w:type="dxa"/>
              <w:right w:w="120" w:type="dxa"/>
            </w:tcMar>
            <w:tcW w:w="2880" w:type="dxa"/>
          </w:tcPr>
          <w:p>
            <w:pPr>
              <w:jc w:val="center"/>
            </w:pPr>
            <w:r>
              <w:rPr>
                <w:rFonts w:ascii="Arial" w:hAnsi="Arial"/>
                <w:b w:val="0"/>
                <w:sz w:val="18"/>
              </w:rPr>
              <w:t>12-28% (media estimada: 20%)</w:t>
            </w:r>
          </w:p>
        </w:tc>
      </w:tr>
    </w:tbl>
    <w:p>
      <w:pPr>
        <w:spacing w:after="80"/>
        <w:jc w:val="center"/>
      </w:pPr>
      <w:r>
        <w:rPr>
          <w:rFonts w:ascii="Arial" w:hAnsi="Arial"/>
          <w:b w:val="0"/>
          <w:i/>
          <w:sz w:val="22"/>
        </w:rPr>
        <w:t>Mayo 2026</w:t>
      </w:r>
    </w:p>
    <w:p>
      <w:pPr>
        <w:spacing w:before="80" w:after="160"/>
        <w:ind w:left="216"/>
        <w:shd w:val="clear" w:color="auto" w:fill="FFDCE1"/>
        <w:pBdr>
          <w:left w:val="single" w:sz="18" w:space="4" w:color="C0392B"/>
        </w:pBdr>
      </w:pPr>
      <w:r>
        <w:rPr>
          <w:rFonts w:ascii="Arial" w:hAnsi="Arial"/>
          <w:i/>
          <w:color w:val="333333"/>
          <w:sz w:val="20"/>
        </w:rPr>
        <w:t>⚠  ADVERTENCIA: Las proyecciones de la versión anterior asumían crecimiento exponencial (300→2,000→8,000 ha en 3 años) sin fricciones de adopción, resultando en una TIR de 120% no creíble. Esta versión corrige esos supuestos con datos de adopción agrícola real.</w:t>
      </w:r>
    </w:p>
    <w:p>
      <w:r>
        <w:br w:type="page"/>
      </w:r>
    </w:p>
    <w:p>
      <w:pPr>
        <w:pStyle w:val="Heading1"/>
      </w:pPr>
      <w:r>
        <w:rPr>
          <w:rFonts w:ascii="Arial" w:hAnsi="Arial"/>
          <w:color w:val="1F3864"/>
          <w:sz w:val="32"/>
        </w:rPr>
        <w:t>Tabla de Contenidos</w:t>
      </w:r>
    </w:p>
    <w:p>
      <w:pPr>
        <w:spacing w:after="40"/>
      </w:pPr>
      <w:r>
        <w:rPr>
          <w:rFonts w:ascii="Arial" w:hAnsi="Arial"/>
          <w:b/>
          <w:sz w:val="20"/>
        </w:rPr>
        <w:t>PARTE I — PLAN DE NEGOCIOS</w:t>
      </w:r>
    </w:p>
    <w:p>
      <w:pPr>
        <w:spacing w:after="40"/>
      </w:pPr>
      <w:r>
        <w:rPr>
          <w:rFonts w:ascii="Arial" w:hAnsi="Arial"/>
          <w:b w:val="0"/>
          <w:sz w:val="20"/>
        </w:rPr>
        <w:t>I. Resumen Ejecutivo</w:t>
      </w:r>
    </w:p>
    <w:p>
      <w:pPr>
        <w:spacing w:after="40"/>
      </w:pPr>
      <w:r>
        <w:rPr>
          <w:rFonts w:ascii="Arial" w:hAnsi="Arial"/>
          <w:b w:val="0"/>
          <w:sz w:val="20"/>
        </w:rPr>
        <w:t>II. Análisis del Entorno y del Sector</w:t>
      </w:r>
    </w:p>
    <w:p>
      <w:pPr>
        <w:spacing w:after="40"/>
      </w:pPr>
      <w:r>
        <w:rPr>
          <w:rFonts w:ascii="Arial" w:hAnsi="Arial"/>
          <w:b w:val="0"/>
          <w:sz w:val="20"/>
        </w:rPr>
        <w:t>III. Propuesta de Valor y Modelo de Negocio</w:t>
      </w:r>
    </w:p>
    <w:p>
      <w:pPr>
        <w:spacing w:after="40"/>
      </w:pPr>
      <w:r>
        <w:rPr>
          <w:rFonts w:ascii="Arial" w:hAnsi="Arial"/>
          <w:b w:val="0"/>
          <w:sz w:val="20"/>
        </w:rPr>
        <w:t>IV. Estudio de Mercado</w:t>
      </w:r>
    </w:p>
    <w:p>
      <w:pPr>
        <w:spacing w:after="40"/>
      </w:pPr>
      <w:r>
        <w:rPr>
          <w:rFonts w:ascii="Arial" w:hAnsi="Arial"/>
          <w:b w:val="0"/>
          <w:sz w:val="20"/>
        </w:rPr>
        <w:t>V. Estudio Técnico</w:t>
      </w:r>
    </w:p>
    <w:p>
      <w:pPr>
        <w:spacing w:after="40"/>
      </w:pPr>
      <w:r>
        <w:rPr>
          <w:rFonts w:ascii="Arial" w:hAnsi="Arial"/>
          <w:b w:val="0"/>
          <w:sz w:val="20"/>
        </w:rPr>
        <w:t>VI. Estudio Administrativo</w:t>
      </w:r>
    </w:p>
    <w:p>
      <w:pPr>
        <w:spacing w:after="40"/>
      </w:pPr>
      <w:r>
        <w:rPr>
          <w:rFonts w:ascii="Arial" w:hAnsi="Arial"/>
          <w:b w:val="0"/>
          <w:sz w:val="20"/>
        </w:rPr>
        <w:t>VII. Estudio Financiero (REVISADO)</w:t>
      </w:r>
    </w:p>
    <w:p>
      <w:pPr>
        <w:spacing w:after="40"/>
      </w:pPr>
      <w:r>
        <w:rPr>
          <w:rFonts w:ascii="Arial" w:hAnsi="Arial"/>
          <w:b w:val="0"/>
          <w:sz w:val="20"/>
        </w:rPr>
        <w:t>VIII. Análisis de Riesgos — incluyendo fricciones operativas no resueltas (REVISADO)</w:t>
      </w:r>
    </w:p>
    <w:p>
      <w:pPr>
        <w:spacing w:after="40"/>
      </w:pPr>
      <w:r>
        <w:rPr>
          <w:rFonts w:ascii="Arial" w:hAnsi="Arial"/>
          <w:b w:val="0"/>
          <w:sz w:val="20"/>
        </w:rPr>
        <w:t>IX. Estrategia de Financiamiento</w:t>
      </w:r>
    </w:p>
    <w:p>
      <w:pPr>
        <w:spacing w:after="40"/>
      </w:pPr>
      <w:r>
        <w:rPr>
          <w:rFonts w:ascii="Arial" w:hAnsi="Arial"/>
          <w:b w:val="0"/>
          <w:sz w:val="20"/>
        </w:rPr>
        <w:t>X. Evaluación de Viabilidad Integral</w:t>
      </w:r>
    </w:p>
    <w:p>
      <w:pPr>
        <w:spacing w:after="40"/>
      </w:pPr>
      <w:r>
        <w:rPr>
          <w:rFonts w:ascii="Arial" w:hAnsi="Arial"/>
          <w:b/>
          <w:sz w:val="20"/>
        </w:rPr>
        <w:t>PARTE II — ANÁLISIS DE DILEMAS</w:t>
      </w:r>
    </w:p>
    <w:p>
      <w:pPr>
        <w:spacing w:after="40"/>
      </w:pPr>
      <w:r>
        <w:rPr>
          <w:rFonts w:ascii="Arial" w:hAnsi="Arial"/>
          <w:b w:val="0"/>
          <w:sz w:val="20"/>
        </w:rPr>
        <w:t>XI–XV. Dilemas disciplinarios</w:t>
      </w:r>
    </w:p>
    <w:p>
      <w:pPr>
        <w:spacing w:after="40"/>
      </w:pPr>
      <w:r>
        <w:rPr>
          <w:rFonts w:ascii="Arial" w:hAnsi="Arial"/>
          <w:b w:val="0"/>
          <w:sz w:val="20"/>
        </w:rPr>
        <w:t>Referencias</w:t>
      </w:r>
    </w:p>
    <w:p>
      <w:r>
        <w:br w:type="page"/>
      </w:r>
    </w:p>
    <w:p>
      <w:pPr>
        <w:pStyle w:val="Heading1"/>
      </w:pPr>
      <w:r>
        <w:rPr>
          <w:rFonts w:ascii="Arial" w:hAnsi="Arial"/>
          <w:color w:val="1F3864"/>
          <w:sz w:val="32"/>
        </w:rPr>
        <w:t>PARTE I — PLAN DE NEGOCIOS — MILPÍN AgTech</w:t>
      </w:r>
    </w:p>
    <w:p>
      <w:pPr>
        <w:spacing w:after="120"/>
        <w:jc w:val="left"/>
      </w:pPr>
      <w:r>
        <w:rPr>
          <w:rFonts w:ascii="Arial" w:hAnsi="Arial"/>
          <w:b w:val="0"/>
          <w:i/>
          <w:sz w:val="20"/>
        </w:rPr>
        <w:t>Sector AgTech / Giro: Software de Optimización Hídrica para Agricultura de Riego en Zonas Áridas</w:t>
      </w:r>
    </w:p>
    <w:p>
      <w:pPr>
        <w:spacing w:after="40"/>
      </w:pPr>
    </w:p>
    <w:p>
      <w:pPr>
        <w:pStyle w:val="Heading1"/>
      </w:pPr>
      <w:r>
        <w:rPr>
          <w:rFonts w:ascii="Arial" w:hAnsi="Arial"/>
          <w:color w:val="1F3864"/>
          <w:sz w:val="32"/>
        </w:rPr>
        <w:t>I. Resumen Ejecutivo</w:t>
      </w:r>
    </w:p>
    <w:p>
      <w:pPr>
        <w:pStyle w:val="Heading2"/>
      </w:pPr>
      <w:r>
        <w:rPr>
          <w:rFonts w:ascii="Arial" w:hAnsi="Arial"/>
          <w:color w:val="2E75B6"/>
          <w:sz w:val="26"/>
        </w:rPr>
        <w:t>1.1 Síntesis del Problema</w:t>
      </w:r>
    </w:p>
    <w:p>
      <w:pPr>
        <w:spacing w:after="120"/>
        <w:jc w:val="left"/>
      </w:pPr>
      <w:r>
        <w:rPr>
          <w:rFonts w:ascii="Arial" w:hAnsi="Arial"/>
          <w:b w:val="0"/>
          <w:i w:val="0"/>
          <w:sz w:val="22"/>
        </w:rPr>
        <w:t>El Valle del Yaqui concentra más del 12% de la producción nacional de trigo y opera sobre el Distrito de Riego 041 (DR-041), con ~225,000 hectáreas irrigadas. Sin embargo, el consumo hídrico promedio supera los 8,000 m³/ha por ciclo agrícola, cifra que excede en 2,000 m³/ha el requerimiento real calculado mediante el estándar FAO-56. El costo de bombeo a tarifa CFE 9-CU desde 80 metros de profundidad asciende a $1.68 MXN/m³, generando un gasto energético superior a $13,440 MXN/ha por ciclo. El 92% de los productores del DR-041 no utiliza ningún software de gestión hídrica (IMTA, 2022), tomando decisiones por experiencia empírica con alto margen de sobreexplotación del acuífero.</w:t>
      </w:r>
    </w:p>
    <w:p>
      <w:pPr>
        <w:spacing w:after="40"/>
      </w:pPr>
    </w:p>
    <w:p>
      <w:pPr>
        <w:pStyle w:val="Heading2"/>
      </w:pPr>
      <w:r>
        <w:rPr>
          <w:rFonts w:ascii="Arial" w:hAnsi="Arial"/>
          <w:color w:val="2E75B6"/>
          <w:sz w:val="26"/>
        </w:rPr>
        <w:t>1.2 Solución Propuesta</w:t>
      </w:r>
    </w:p>
    <w:p>
      <w:pPr>
        <w:spacing w:after="120"/>
        <w:jc w:val="left"/>
      </w:pPr>
      <w:r>
        <w:rPr>
          <w:rFonts w:ascii="Arial" w:hAnsi="Arial"/>
          <w:b w:val="0"/>
          <w:i w:val="0"/>
          <w:sz w:val="22"/>
        </w:rPr>
        <w:t>MILPÍN AgTech es un sistema de apoyo a decisiones de riego que integra el motor agronómico FAO-56 Penman-Monteith, datos climáticos satelitales de la NASA (MERRA-2), análisis geoespacial (PostGIS), proyección de evapotranspiración a 7 días (Ridge Regression) y un asistente de voz en español (Whisper + Ollama). La solución genera recomendaciones de riego personalizadas por parcela con cantidad exacta de agua, costo energético estimado y nivel de urgencia.</w:t>
      </w:r>
    </w:p>
    <w:p>
      <w:pPr>
        <w:spacing w:before="80" w:after="160"/>
        <w:ind w:left="216"/>
        <w:shd w:val="clear" w:color="auto" w:fill="FFF2CC"/>
        <w:pBdr>
          <w:left w:val="single" w:sz="18" w:space="4" w:color="F0A000"/>
        </w:pBdr>
      </w:pPr>
      <w:r>
        <w:rPr>
          <w:rFonts w:ascii="Arial" w:hAnsi="Arial"/>
          <w:i/>
          <w:color w:val="333333"/>
          <w:sz w:val="20"/>
        </w:rPr>
        <w:t>KPI Central: Reducir el consumo hídrico de 8,000 m³/ha/ciclo a 6,000 m³/ha/ciclo. Rango realista estimado: 12–28% de reducción (media 20%), con alta dependencia de calibración local de Kc (±15% respecto a valores FAO por defecto, CIMMYT 2021) y de la tasa de adopción de recomendaciones por el productor (asumida &gt;75%).</w:t>
      </w:r>
    </w:p>
    <w:p>
      <w:pPr>
        <w:spacing w:after="40"/>
      </w:pPr>
    </w:p>
    <w:p>
      <w:pPr>
        <w:pStyle w:val="Heading2"/>
      </w:pPr>
      <w:r>
        <w:rPr>
          <w:rFonts w:ascii="Arial" w:hAnsi="Arial"/>
          <w:color w:val="2E75B6"/>
          <w:sz w:val="26"/>
        </w:rPr>
        <w:t>1.3 Mercado Objetivo</w:t>
      </w:r>
    </w:p>
    <w:p>
      <w:pPr>
        <w:spacing w:after="120"/>
        <w:jc w:val="left"/>
      </w:pPr>
      <w:r>
        <w:rPr>
          <w:rFonts w:ascii="Arial" w:hAnsi="Arial"/>
          <w:b w:val="0"/>
          <w:i w:val="0"/>
          <w:sz w:val="22"/>
        </w:rPr>
        <w:t>El mercado inmediato son los ~3,200 productores del DR-041 (Sonora), con acceso a una superficie irrigada de 225,000 ha. El mercado ampliado incluye los 14 distritos de riego del noroeste de México (Sonora, Sinaloa, Baja California), con más de 900,000 ha bajo riego tecnificado.</w:t>
      </w:r>
    </w:p>
    <w:p>
      <w:pPr>
        <w:spacing w:after="40"/>
      </w:pPr>
    </w:p>
    <w:p>
      <w:pPr>
        <w:pStyle w:val="Heading2"/>
      </w:pPr>
      <w:r>
        <w:rPr>
          <w:rFonts w:ascii="Arial" w:hAnsi="Arial"/>
          <w:color w:val="2E75B6"/>
          <w:sz w:val="26"/>
        </w:rPr>
        <w:t>1.4 Ventaja Competitiva</w:t>
      </w:r>
    </w:p>
    <w:p>
      <w:pPr>
        <w:spacing w:after="120"/>
        <w:jc w:val="left"/>
      </w:pPr>
      <w:r>
        <w:rPr>
          <w:rFonts w:ascii="Arial" w:hAnsi="Arial"/>
          <w:b w:val="0"/>
          <w:i w:val="0"/>
          <w:sz w:val="22"/>
        </w:rPr>
        <w:t>MILPÍN opera con cero datos manuales de campo (fuente de verdad: NASA POWER), motor FAO-56 fiel al estándar internacional, interfaz de voz en español para productores sin alfabetización digital avanzada, y arquitectura open-source que elimina licencias de terceros. Ninguna solución comercial disponible en México combina estos cuatro atributos a un precio accesible para el sector agrícola de pequeño y mediano productor.</w:t>
      </w:r>
    </w:p>
    <w:p>
      <w:pPr>
        <w:spacing w:after="40"/>
      </w:pPr>
    </w:p>
    <w:p>
      <w:pPr>
        <w:pStyle w:val="Heading2"/>
      </w:pPr>
      <w:r>
        <w:rPr>
          <w:rFonts w:ascii="Arial" w:hAnsi="Arial"/>
          <w:color w:val="2E75B6"/>
          <w:sz w:val="26"/>
        </w:rPr>
        <w:t>1.5 Proyección Financiera Síntesis (REVISADA)</w:t>
      </w:r>
    </w:p>
    <w:p>
      <w:pPr>
        <w:spacing w:before="80" w:after="160"/>
        <w:ind w:left="216"/>
        <w:shd w:val="clear" w:color="auto" w:fill="FFDCE1"/>
        <w:pBdr>
          <w:left w:val="single" w:sz="18" w:space="4" w:color="C0392B"/>
        </w:pBdr>
      </w:pPr>
      <w:r>
        <w:rPr>
          <w:rFonts w:ascii="Arial" w:hAnsi="Arial"/>
          <w:i/>
          <w:color w:val="333333"/>
          <w:sz w:val="20"/>
        </w:rPr>
        <w:t>La versión anterior proyectaba ingresos de $9.6M en Año 3 (8,000 ha) con TIR de 120%. Esos supuestos ignoraban la fricción real de adopción en mercados agrícolas rurales: ciclos de decisión lentos (1-2 por año), necesidad de 1-2 ciclos completos para generar confianza, y baja compliance en captura de datos sin promotor en campo. Las cifras corregidas siguen siendo atractivas para un inversionista, pero requieren horizonte de 5 años para VAN positivo.</w:t>
      </w:r>
    </w:p>
    <w:p>
      <w:pPr>
        <w:spacing w:after="40"/>
      </w:pP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3864"/>
            <w:tcMar>
              <w:top w:w="80" w:type="dxa"/>
              <w:bottom w:w="80" w:type="dxa"/>
              <w:left w:w="120" w:type="dxa"/>
              <w:right w:w="120" w:type="dxa"/>
            </w:tcMar>
            <w:tcW w:w="4320" w:type="dxa"/>
          </w:tcPr>
          <w:p>
            <w:pPr>
              <w:jc w:val="center"/>
            </w:pPr>
            <w:r>
              <w:rPr>
                <w:rFonts w:ascii="Arial" w:hAnsi="Arial"/>
                <w:b/>
                <w:color w:val="FFFFFF"/>
                <w:sz w:val="18"/>
              </w:rPr>
              <w:t>Indicador</w:t>
            </w:r>
          </w:p>
        </w:tc>
        <w:tc>
          <w:tcPr>
            <w:tcW w:type="dxa" w:w="2880"/>
            <w:vAlign w:val="center"/>
            <w:shd w:val="clear" w:color="auto" w:fill="1F3864"/>
            <w:tcMar>
              <w:top w:w="80" w:type="dxa"/>
              <w:bottom w:w="80" w:type="dxa"/>
              <w:left w:w="120" w:type="dxa"/>
              <w:right w:w="120" w:type="dxa"/>
            </w:tcMar>
            <w:tcW w:w="3168" w:type="dxa"/>
          </w:tcPr>
          <w:p>
            <w:pPr>
              <w:jc w:val="center"/>
            </w:pPr>
            <w:r>
              <w:rPr>
                <w:rFonts w:ascii="Arial" w:hAnsi="Arial"/>
                <w:b/>
                <w:color w:val="FFFFFF"/>
                <w:sz w:val="18"/>
              </w:rPr>
              <w:t>Modelo SaaS (base)</w:t>
            </w:r>
          </w:p>
        </w:tc>
        <w:tc>
          <w:tcPr>
            <w:tcW w:type="dxa" w:w="2880"/>
            <w:vAlign w:val="center"/>
            <w:shd w:val="clear" w:color="auto" w:fill="1F3864"/>
            <w:tcMar>
              <w:top w:w="80" w:type="dxa"/>
              <w:bottom w:w="80" w:type="dxa"/>
              <w:left w:w="120" w:type="dxa"/>
              <w:right w:w="120" w:type="dxa"/>
            </w:tcMar>
            <w:tcW w:w="3168" w:type="dxa"/>
          </w:tcPr>
          <w:p>
            <w:pPr>
              <w:jc w:val="center"/>
            </w:pPr>
            <w:r>
              <w:rPr>
                <w:rFonts w:ascii="Arial" w:hAnsi="Arial"/>
                <w:b/>
                <w:color w:val="FFFFFF"/>
                <w:sz w:val="18"/>
              </w:rPr>
              <w:t>Modelo Pago por Desempeño</w:t>
            </w:r>
          </w:p>
        </w:tc>
      </w:tr>
      <w:tr>
        <w:tc>
          <w:tcPr>
            <w:tcW w:type="dxa" w:w="2880"/>
            <w:vAlign w:val="center"/>
            <w:shd w:val="clear" w:color="auto" w:fill="D5E8F0"/>
            <w:tcMar>
              <w:top w:w="80" w:type="dxa"/>
              <w:bottom w:w="80" w:type="dxa"/>
              <w:left w:w="120" w:type="dxa"/>
              <w:right w:w="120" w:type="dxa"/>
            </w:tcMar>
            <w:tcW w:w="4320" w:type="dxa"/>
          </w:tcPr>
          <w:p>
            <w:pPr>
              <w:jc w:val="left"/>
            </w:pPr>
            <w:r>
              <w:rPr>
                <w:rFonts w:ascii="Arial" w:hAnsi="Arial"/>
                <w:b/>
                <w:sz w:val="18"/>
              </w:rPr>
              <w:t>Inversión inicial (CAPEX)</w:t>
            </w:r>
          </w:p>
        </w:tc>
        <w:tc>
          <w:tcPr>
            <w:tcW w:type="dxa" w:w="2880"/>
            <w:vAlign w:val="center"/>
            <w:shd w:val="clear" w:color="auto" w:fill="FFFFFF"/>
            <w:tcMar>
              <w:top w:w="80" w:type="dxa"/>
              <w:bottom w:w="80" w:type="dxa"/>
              <w:left w:w="120" w:type="dxa"/>
              <w:right w:w="120" w:type="dxa"/>
            </w:tcMar>
            <w:tcW w:w="3168" w:type="dxa"/>
          </w:tcPr>
          <w:p>
            <w:pPr>
              <w:jc w:val="center"/>
            </w:pPr>
            <w:r>
              <w:rPr>
                <w:rFonts w:ascii="Arial" w:hAnsi="Arial"/>
                <w:b w:val="0"/>
                <w:sz w:val="18"/>
              </w:rPr>
              <w:t>$450,000 MXN</w:t>
            </w:r>
          </w:p>
        </w:tc>
        <w:tc>
          <w:tcPr>
            <w:tcW w:type="dxa" w:w="2880"/>
            <w:vAlign w:val="center"/>
            <w:shd w:val="clear" w:color="auto" w:fill="FFFFFF"/>
            <w:tcMar>
              <w:top w:w="80" w:type="dxa"/>
              <w:bottom w:w="80" w:type="dxa"/>
              <w:left w:w="120" w:type="dxa"/>
              <w:right w:w="120" w:type="dxa"/>
            </w:tcMar>
            <w:tcW w:w="3168" w:type="dxa"/>
          </w:tcPr>
          <w:p>
            <w:pPr>
              <w:jc w:val="center"/>
            </w:pPr>
            <w:r>
              <w:rPr>
                <w:rFonts w:ascii="Arial" w:hAnsi="Arial"/>
                <w:b w:val="0"/>
                <w:sz w:val="18"/>
              </w:rPr>
              <w:t>$450,000 MXN</w:t>
            </w:r>
          </w:p>
        </w:tc>
      </w:tr>
      <w:tr>
        <w:tc>
          <w:tcPr>
            <w:tcW w:type="dxa" w:w="2880"/>
            <w:vAlign w:val="center"/>
            <w:shd w:val="clear" w:color="auto" w:fill="D5E8F0"/>
            <w:tcMar>
              <w:top w:w="80" w:type="dxa"/>
              <w:bottom w:w="80" w:type="dxa"/>
              <w:left w:w="120" w:type="dxa"/>
              <w:right w:w="120" w:type="dxa"/>
            </w:tcMar>
            <w:tcW w:w="4320" w:type="dxa"/>
          </w:tcPr>
          <w:p>
            <w:pPr>
              <w:jc w:val="left"/>
            </w:pPr>
            <w:r>
              <w:rPr>
                <w:rFonts w:ascii="Arial" w:hAnsi="Arial"/>
                <w:b/>
                <w:sz w:val="18"/>
              </w:rPr>
              <w:t>Ingresos Año 1 (~80 ha, piloto)</w:t>
            </w:r>
          </w:p>
        </w:tc>
        <w:tc>
          <w:tcPr>
            <w:tcW w:type="dxa" w:w="2880"/>
            <w:vAlign w:val="center"/>
            <w:shd w:val="clear" w:color="auto" w:fill="FFFFFF"/>
            <w:tcMar>
              <w:top w:w="80" w:type="dxa"/>
              <w:bottom w:w="80" w:type="dxa"/>
              <w:left w:w="120" w:type="dxa"/>
              <w:right w:w="120" w:type="dxa"/>
            </w:tcMar>
            <w:tcW w:w="3168" w:type="dxa"/>
          </w:tcPr>
          <w:p>
            <w:pPr>
              <w:jc w:val="center"/>
            </w:pPr>
            <w:r>
              <w:rPr>
                <w:rFonts w:ascii="Arial" w:hAnsi="Arial"/>
                <w:b w:val="0"/>
                <w:sz w:val="18"/>
              </w:rPr>
              <w:t>$64,000 MXN</w:t>
            </w:r>
          </w:p>
        </w:tc>
        <w:tc>
          <w:tcPr>
            <w:tcW w:type="dxa" w:w="2880"/>
            <w:vAlign w:val="center"/>
            <w:shd w:val="clear" w:color="auto" w:fill="FFFFFF"/>
            <w:tcMar>
              <w:top w:w="80" w:type="dxa"/>
              <w:bottom w:w="80" w:type="dxa"/>
              <w:left w:w="120" w:type="dxa"/>
              <w:right w:w="120" w:type="dxa"/>
            </w:tcMar>
            <w:tcW w:w="3168" w:type="dxa"/>
          </w:tcPr>
          <w:p>
            <w:pPr>
              <w:jc w:val="center"/>
            </w:pPr>
            <w:r>
              <w:rPr>
                <w:rFonts w:ascii="Arial" w:hAnsi="Arial"/>
                <w:b w:val="0"/>
                <w:sz w:val="18"/>
              </w:rPr>
              <w:t>$53,760 MXN</w:t>
            </w:r>
          </w:p>
        </w:tc>
      </w:tr>
      <w:tr>
        <w:tc>
          <w:tcPr>
            <w:tcW w:type="dxa" w:w="2880"/>
            <w:vAlign w:val="center"/>
            <w:shd w:val="clear" w:color="auto" w:fill="D5E8F0"/>
            <w:tcMar>
              <w:top w:w="80" w:type="dxa"/>
              <w:bottom w:w="80" w:type="dxa"/>
              <w:left w:w="120" w:type="dxa"/>
              <w:right w:w="120" w:type="dxa"/>
            </w:tcMar>
            <w:tcW w:w="4320" w:type="dxa"/>
          </w:tcPr>
          <w:p>
            <w:pPr>
              <w:jc w:val="left"/>
            </w:pPr>
            <w:r>
              <w:rPr>
                <w:rFonts w:ascii="Arial" w:hAnsi="Arial"/>
                <w:b/>
                <w:sz w:val="18"/>
              </w:rPr>
              <w:t>Ingresos Año 2 (~400 ha)</w:t>
            </w:r>
          </w:p>
        </w:tc>
        <w:tc>
          <w:tcPr>
            <w:tcW w:type="dxa" w:w="2880"/>
            <w:vAlign w:val="center"/>
            <w:shd w:val="clear" w:color="auto" w:fill="FFFFFF"/>
            <w:tcMar>
              <w:top w:w="80" w:type="dxa"/>
              <w:bottom w:w="80" w:type="dxa"/>
              <w:left w:w="120" w:type="dxa"/>
              <w:right w:w="120" w:type="dxa"/>
            </w:tcMar>
            <w:tcW w:w="3168" w:type="dxa"/>
          </w:tcPr>
          <w:p>
            <w:pPr>
              <w:jc w:val="center"/>
            </w:pPr>
            <w:r>
              <w:rPr>
                <w:rFonts w:ascii="Arial" w:hAnsi="Arial"/>
                <w:b w:val="0"/>
                <w:sz w:val="18"/>
              </w:rPr>
              <w:t>$480,000 MXN</w:t>
            </w:r>
          </w:p>
        </w:tc>
        <w:tc>
          <w:tcPr>
            <w:tcW w:type="dxa" w:w="2880"/>
            <w:vAlign w:val="center"/>
            <w:shd w:val="clear" w:color="auto" w:fill="FFFFFF"/>
            <w:tcMar>
              <w:top w:w="80" w:type="dxa"/>
              <w:bottom w:w="80" w:type="dxa"/>
              <w:left w:w="120" w:type="dxa"/>
              <w:right w:w="120" w:type="dxa"/>
            </w:tcMar>
            <w:tcW w:w="3168" w:type="dxa"/>
          </w:tcPr>
          <w:p>
            <w:pPr>
              <w:jc w:val="center"/>
            </w:pPr>
            <w:r>
              <w:rPr>
                <w:rFonts w:ascii="Arial" w:hAnsi="Arial"/>
                <w:b w:val="0"/>
                <w:sz w:val="18"/>
              </w:rPr>
              <w:t>$403,200 MXN</w:t>
            </w:r>
          </w:p>
        </w:tc>
      </w:tr>
      <w:tr>
        <w:tc>
          <w:tcPr>
            <w:tcW w:type="dxa" w:w="2880"/>
            <w:vAlign w:val="center"/>
            <w:shd w:val="clear" w:color="auto" w:fill="D5E8F0"/>
            <w:tcMar>
              <w:top w:w="80" w:type="dxa"/>
              <w:bottom w:w="80" w:type="dxa"/>
              <w:left w:w="120" w:type="dxa"/>
              <w:right w:w="120" w:type="dxa"/>
            </w:tcMar>
            <w:tcW w:w="4320" w:type="dxa"/>
          </w:tcPr>
          <w:p>
            <w:pPr>
              <w:jc w:val="left"/>
            </w:pPr>
            <w:r>
              <w:rPr>
                <w:rFonts w:ascii="Arial" w:hAnsi="Arial"/>
                <w:b/>
                <w:sz w:val="18"/>
              </w:rPr>
              <w:t>Ingresos Año 3 (~1,500 ha)</w:t>
            </w:r>
          </w:p>
        </w:tc>
        <w:tc>
          <w:tcPr>
            <w:tcW w:type="dxa" w:w="2880"/>
            <w:vAlign w:val="center"/>
            <w:shd w:val="clear" w:color="auto" w:fill="FFFFFF"/>
            <w:tcMar>
              <w:top w:w="80" w:type="dxa"/>
              <w:bottom w:w="80" w:type="dxa"/>
              <w:left w:w="120" w:type="dxa"/>
              <w:right w:w="120" w:type="dxa"/>
            </w:tcMar>
            <w:tcW w:w="3168" w:type="dxa"/>
          </w:tcPr>
          <w:p>
            <w:pPr>
              <w:jc w:val="center"/>
            </w:pPr>
            <w:r>
              <w:rPr>
                <w:rFonts w:ascii="Arial" w:hAnsi="Arial"/>
                <w:b w:val="0"/>
                <w:sz w:val="18"/>
              </w:rPr>
              <w:t>$1,800,000 MXN</w:t>
            </w:r>
          </w:p>
        </w:tc>
        <w:tc>
          <w:tcPr>
            <w:tcW w:type="dxa" w:w="2880"/>
            <w:vAlign w:val="center"/>
            <w:shd w:val="clear" w:color="auto" w:fill="FFFFFF"/>
            <w:tcMar>
              <w:top w:w="80" w:type="dxa"/>
              <w:bottom w:w="80" w:type="dxa"/>
              <w:left w:w="120" w:type="dxa"/>
              <w:right w:w="120" w:type="dxa"/>
            </w:tcMar>
            <w:tcW w:w="3168" w:type="dxa"/>
          </w:tcPr>
          <w:p>
            <w:pPr>
              <w:jc w:val="center"/>
            </w:pPr>
            <w:r>
              <w:rPr>
                <w:rFonts w:ascii="Arial" w:hAnsi="Arial"/>
                <w:b w:val="0"/>
                <w:sz w:val="18"/>
              </w:rPr>
              <w:t>$1,512,000 MXN</w:t>
            </w:r>
          </w:p>
        </w:tc>
      </w:tr>
      <w:tr>
        <w:tc>
          <w:tcPr>
            <w:tcW w:type="dxa" w:w="2880"/>
            <w:vAlign w:val="center"/>
            <w:shd w:val="clear" w:color="auto" w:fill="FFDCE1"/>
            <w:tcMar>
              <w:top w:w="80" w:type="dxa"/>
              <w:bottom w:w="80" w:type="dxa"/>
              <w:left w:w="120" w:type="dxa"/>
              <w:right w:w="120" w:type="dxa"/>
            </w:tcMar>
            <w:tcW w:w="4320" w:type="dxa"/>
          </w:tcPr>
          <w:p>
            <w:pPr>
              <w:jc w:val="left"/>
            </w:pPr>
            <w:r>
              <w:rPr>
                <w:rFonts w:ascii="Arial" w:hAnsi="Arial"/>
                <w:b/>
                <w:sz w:val="18"/>
              </w:rPr>
              <w:t>Capital total requerido (Años 0–3)</w:t>
            </w:r>
          </w:p>
        </w:tc>
        <w:tc>
          <w:tcPr>
            <w:tcW w:type="dxa" w:w="2880"/>
            <w:vAlign w:val="center"/>
            <w:shd w:val="clear" w:color="auto" w:fill="FFDCE1"/>
            <w:tcMar>
              <w:top w:w="80" w:type="dxa"/>
              <w:bottom w:w="80" w:type="dxa"/>
              <w:left w:w="120" w:type="dxa"/>
              <w:right w:w="120" w:type="dxa"/>
            </w:tcMar>
            <w:tcW w:w="3168" w:type="dxa"/>
          </w:tcPr>
          <w:p>
            <w:pPr>
              <w:jc w:val="center"/>
            </w:pPr>
            <w:r>
              <w:rPr>
                <w:rFonts w:ascii="Arial" w:hAnsi="Arial"/>
                <w:b w:val="0"/>
                <w:sz w:val="18"/>
              </w:rPr>
              <w:t>~$2.3M MXN</w:t>
            </w:r>
          </w:p>
        </w:tc>
        <w:tc>
          <w:tcPr>
            <w:tcW w:type="dxa" w:w="2880"/>
            <w:vAlign w:val="center"/>
            <w:shd w:val="clear" w:color="auto" w:fill="FFDCE1"/>
            <w:tcMar>
              <w:top w:w="80" w:type="dxa"/>
              <w:bottom w:w="80" w:type="dxa"/>
              <w:left w:w="120" w:type="dxa"/>
              <w:right w:w="120" w:type="dxa"/>
            </w:tcMar>
            <w:tcW w:w="3168" w:type="dxa"/>
          </w:tcPr>
          <w:p>
            <w:pPr>
              <w:jc w:val="center"/>
            </w:pPr>
            <w:r>
              <w:rPr>
                <w:rFonts w:ascii="Arial" w:hAnsi="Arial"/>
                <w:b w:val="0"/>
                <w:sz w:val="18"/>
              </w:rPr>
              <w:t>~$2.5M MXN</w:t>
            </w:r>
          </w:p>
        </w:tc>
      </w:tr>
      <w:tr>
        <w:tc>
          <w:tcPr>
            <w:tcW w:type="dxa" w:w="2880"/>
            <w:vAlign w:val="center"/>
            <w:shd w:val="clear" w:color="auto" w:fill="FFDCE1"/>
            <w:tcMar>
              <w:top w:w="80" w:type="dxa"/>
              <w:bottom w:w="80" w:type="dxa"/>
              <w:left w:w="120" w:type="dxa"/>
              <w:right w:w="120" w:type="dxa"/>
            </w:tcMar>
            <w:tcW w:w="4320" w:type="dxa"/>
          </w:tcPr>
          <w:p>
            <w:pPr>
              <w:jc w:val="left"/>
            </w:pPr>
            <w:r>
              <w:rPr>
                <w:rFonts w:ascii="Arial" w:hAnsi="Arial"/>
                <w:b/>
                <w:sz w:val="18"/>
              </w:rPr>
              <w:t>VAN (WACC 12%, 3 años)</w:t>
            </w:r>
          </w:p>
        </w:tc>
        <w:tc>
          <w:tcPr>
            <w:tcW w:type="dxa" w:w="2880"/>
            <w:vAlign w:val="center"/>
            <w:shd w:val="clear" w:color="auto" w:fill="FFDCE1"/>
            <w:tcMar>
              <w:top w:w="80" w:type="dxa"/>
              <w:bottom w:w="80" w:type="dxa"/>
              <w:left w:w="120" w:type="dxa"/>
              <w:right w:w="120" w:type="dxa"/>
            </w:tcMar>
            <w:tcW w:w="3168" w:type="dxa"/>
          </w:tcPr>
          <w:p>
            <w:pPr>
              <w:jc w:val="center"/>
            </w:pPr>
            <w:r>
              <w:rPr>
                <w:rFonts w:ascii="Arial" w:hAnsi="Arial"/>
                <w:b/>
                <w:sz w:val="18"/>
              </w:rPr>
              <w:t>−$1,521,000 MXN</w:t>
            </w:r>
          </w:p>
        </w:tc>
        <w:tc>
          <w:tcPr>
            <w:tcW w:type="dxa" w:w="2880"/>
            <w:vAlign w:val="center"/>
            <w:shd w:val="clear" w:color="auto" w:fill="FFDCE1"/>
            <w:tcMar>
              <w:top w:w="80" w:type="dxa"/>
              <w:bottom w:w="80" w:type="dxa"/>
              <w:left w:w="120" w:type="dxa"/>
              <w:right w:w="120" w:type="dxa"/>
            </w:tcMar>
            <w:tcW w:w="3168" w:type="dxa"/>
          </w:tcPr>
          <w:p>
            <w:pPr>
              <w:jc w:val="center"/>
            </w:pPr>
            <w:r>
              <w:rPr>
                <w:rFonts w:ascii="Arial" w:hAnsi="Arial"/>
                <w:b/>
                <w:sz w:val="18"/>
              </w:rPr>
              <w:t>−$1,850,000 MXN</w:t>
            </w:r>
          </w:p>
        </w:tc>
      </w:tr>
      <w:tr>
        <w:tc>
          <w:tcPr>
            <w:tcW w:type="dxa" w:w="2880"/>
            <w:vAlign w:val="center"/>
            <w:shd w:val="clear" w:color="auto" w:fill="E2EFDA"/>
            <w:tcMar>
              <w:top w:w="80" w:type="dxa"/>
              <w:bottom w:w="80" w:type="dxa"/>
              <w:left w:w="120" w:type="dxa"/>
              <w:right w:w="120" w:type="dxa"/>
            </w:tcMar>
            <w:tcW w:w="4320" w:type="dxa"/>
          </w:tcPr>
          <w:p>
            <w:pPr>
              <w:jc w:val="left"/>
            </w:pPr>
            <w:r>
              <w:rPr>
                <w:rFonts w:ascii="Arial" w:hAnsi="Arial"/>
                <w:b/>
                <w:sz w:val="18"/>
              </w:rPr>
              <w:t>VAN (WACC 12%, 5 años)</w:t>
            </w:r>
          </w:p>
        </w:tc>
        <w:tc>
          <w:tcPr>
            <w:tcW w:type="dxa" w:w="2880"/>
            <w:vAlign w:val="center"/>
            <w:shd w:val="clear" w:color="auto" w:fill="E2EFDA"/>
            <w:tcMar>
              <w:top w:w="80" w:type="dxa"/>
              <w:bottom w:w="80" w:type="dxa"/>
              <w:left w:w="120" w:type="dxa"/>
              <w:right w:w="120" w:type="dxa"/>
            </w:tcMar>
            <w:tcW w:w="3168" w:type="dxa"/>
          </w:tcPr>
          <w:p>
            <w:pPr>
              <w:jc w:val="center"/>
            </w:pPr>
            <w:r>
              <w:rPr>
                <w:rFonts w:ascii="Arial" w:hAnsi="Arial"/>
                <w:b/>
                <w:sz w:val="18"/>
              </w:rPr>
              <w:t>+$1,199,000 MXN</w:t>
            </w:r>
          </w:p>
        </w:tc>
        <w:tc>
          <w:tcPr>
            <w:tcW w:type="dxa" w:w="2880"/>
            <w:vAlign w:val="center"/>
            <w:shd w:val="clear" w:color="auto" w:fill="E2EFDA"/>
            <w:tcMar>
              <w:top w:w="80" w:type="dxa"/>
              <w:bottom w:w="80" w:type="dxa"/>
              <w:left w:w="120" w:type="dxa"/>
              <w:right w:w="120" w:type="dxa"/>
            </w:tcMar>
            <w:tcW w:w="3168" w:type="dxa"/>
          </w:tcPr>
          <w:p>
            <w:pPr>
              <w:jc w:val="center"/>
            </w:pPr>
            <w:r>
              <w:rPr>
                <w:rFonts w:ascii="Arial" w:hAnsi="Arial"/>
                <w:b/>
                <w:sz w:val="18"/>
              </w:rPr>
              <w:t>+$800,000 MXN</w:t>
            </w:r>
          </w:p>
        </w:tc>
      </w:tr>
      <w:tr>
        <w:tc>
          <w:tcPr>
            <w:tcW w:type="dxa" w:w="2880"/>
            <w:vAlign w:val="center"/>
            <w:shd w:val="clear" w:color="auto" w:fill="E2EFDA"/>
            <w:tcMar>
              <w:top w:w="80" w:type="dxa"/>
              <w:bottom w:w="80" w:type="dxa"/>
              <w:left w:w="120" w:type="dxa"/>
              <w:right w:w="120" w:type="dxa"/>
            </w:tcMar>
            <w:tcW w:w="4320" w:type="dxa"/>
          </w:tcPr>
          <w:p>
            <w:pPr>
              <w:jc w:val="left"/>
            </w:pPr>
            <w:r>
              <w:rPr>
                <w:rFonts w:ascii="Arial" w:hAnsi="Arial"/>
                <w:b/>
                <w:sz w:val="18"/>
              </w:rPr>
              <w:t>TIR estimada (horizonte 5 años)</w:t>
            </w:r>
          </w:p>
        </w:tc>
        <w:tc>
          <w:tcPr>
            <w:tcW w:type="dxa" w:w="2880"/>
            <w:vAlign w:val="center"/>
            <w:shd w:val="clear" w:color="auto" w:fill="E2EFDA"/>
            <w:tcMar>
              <w:top w:w="80" w:type="dxa"/>
              <w:bottom w:w="80" w:type="dxa"/>
              <w:left w:w="120" w:type="dxa"/>
              <w:right w:w="120" w:type="dxa"/>
            </w:tcMar>
            <w:tcW w:w="3168" w:type="dxa"/>
          </w:tcPr>
          <w:p>
            <w:pPr>
              <w:jc w:val="center"/>
            </w:pPr>
            <w:r>
              <w:rPr>
                <w:rFonts w:ascii="Arial" w:hAnsi="Arial"/>
                <w:b/>
                <w:sz w:val="18"/>
              </w:rPr>
              <w:t>~31%</w:t>
            </w:r>
          </w:p>
        </w:tc>
        <w:tc>
          <w:tcPr>
            <w:tcW w:type="dxa" w:w="2880"/>
            <w:vAlign w:val="center"/>
            <w:shd w:val="clear" w:color="auto" w:fill="E2EFDA"/>
            <w:tcMar>
              <w:top w:w="80" w:type="dxa"/>
              <w:bottom w:w="80" w:type="dxa"/>
              <w:left w:w="120" w:type="dxa"/>
              <w:right w:w="120" w:type="dxa"/>
            </w:tcMar>
            <w:tcW w:w="3168" w:type="dxa"/>
          </w:tcPr>
          <w:p>
            <w:pPr>
              <w:jc w:val="center"/>
            </w:pPr>
            <w:r>
              <w:rPr>
                <w:rFonts w:ascii="Arial" w:hAnsi="Arial"/>
                <w:b/>
                <w:sz w:val="18"/>
              </w:rPr>
              <w:t>~26%</w:t>
            </w:r>
          </w:p>
        </w:tc>
      </w:tr>
      <w:tr>
        <w:tc>
          <w:tcPr>
            <w:tcW w:type="dxa" w:w="2880"/>
            <w:vAlign w:val="center"/>
            <w:shd w:val="clear" w:color="auto" w:fill="FFF2CC"/>
            <w:tcMar>
              <w:top w:w="80" w:type="dxa"/>
              <w:bottom w:w="80" w:type="dxa"/>
              <w:left w:w="120" w:type="dxa"/>
              <w:right w:w="120" w:type="dxa"/>
            </w:tcMar>
            <w:tcW w:w="4320" w:type="dxa"/>
          </w:tcPr>
          <w:p>
            <w:pPr>
              <w:jc w:val="left"/>
            </w:pPr>
            <w:r>
              <w:rPr>
                <w:rFonts w:ascii="Arial" w:hAnsi="Arial"/>
                <w:b/>
                <w:sz w:val="18"/>
              </w:rPr>
              <w:t>Equilibrio operativo anual</w:t>
            </w:r>
          </w:p>
        </w:tc>
        <w:tc>
          <w:tcPr>
            <w:tcW w:type="dxa" w:w="2880"/>
            <w:vAlign w:val="center"/>
            <w:shd w:val="clear" w:color="auto" w:fill="FFF2CC"/>
            <w:tcMar>
              <w:top w:w="80" w:type="dxa"/>
              <w:bottom w:w="80" w:type="dxa"/>
              <w:left w:w="120" w:type="dxa"/>
              <w:right w:w="120" w:type="dxa"/>
            </w:tcMar>
            <w:tcW w:w="3168" w:type="dxa"/>
          </w:tcPr>
          <w:p>
            <w:pPr>
              <w:jc w:val="center"/>
            </w:pPr>
            <w:r>
              <w:rPr>
                <w:rFonts w:ascii="Arial" w:hAnsi="Arial"/>
                <w:b w:val="0"/>
                <w:sz w:val="18"/>
              </w:rPr>
              <w:t>Año 3 (Q3, ~1,420 ha)</w:t>
            </w:r>
          </w:p>
        </w:tc>
        <w:tc>
          <w:tcPr>
            <w:tcW w:type="dxa" w:w="2880"/>
            <w:vAlign w:val="center"/>
            <w:shd w:val="clear" w:color="auto" w:fill="FFF2CC"/>
            <w:tcMar>
              <w:top w:w="80" w:type="dxa"/>
              <w:bottom w:w="80" w:type="dxa"/>
              <w:left w:w="120" w:type="dxa"/>
              <w:right w:w="120" w:type="dxa"/>
            </w:tcMar>
            <w:tcW w:w="3168" w:type="dxa"/>
          </w:tcPr>
          <w:p>
            <w:pPr>
              <w:jc w:val="center"/>
            </w:pPr>
            <w:r>
              <w:rPr>
                <w:rFonts w:ascii="Arial" w:hAnsi="Arial"/>
                <w:b w:val="0"/>
                <w:sz w:val="18"/>
              </w:rPr>
              <w:t>Año 4 (Q1)</w:t>
            </w:r>
          </w:p>
        </w:tc>
      </w:tr>
      <w:tr>
        <w:tc>
          <w:tcPr>
            <w:tcW w:type="dxa" w:w="2880"/>
            <w:vAlign w:val="center"/>
            <w:shd w:val="clear" w:color="auto" w:fill="FFF2CC"/>
            <w:tcMar>
              <w:top w:w="80" w:type="dxa"/>
              <w:bottom w:w="80" w:type="dxa"/>
              <w:left w:w="120" w:type="dxa"/>
              <w:right w:w="120" w:type="dxa"/>
            </w:tcMar>
            <w:tcW w:w="4320" w:type="dxa"/>
          </w:tcPr>
          <w:p>
            <w:pPr>
              <w:jc w:val="left"/>
            </w:pPr>
            <w:r>
              <w:rPr>
                <w:rFonts w:ascii="Arial" w:hAnsi="Arial"/>
                <w:b/>
                <w:sz w:val="18"/>
              </w:rPr>
              <w:t>Recuperación total de capital</w:t>
            </w:r>
          </w:p>
        </w:tc>
        <w:tc>
          <w:tcPr>
            <w:tcW w:type="dxa" w:w="2880"/>
            <w:vAlign w:val="center"/>
            <w:shd w:val="clear" w:color="auto" w:fill="FFF2CC"/>
            <w:tcMar>
              <w:top w:w="80" w:type="dxa"/>
              <w:bottom w:w="80" w:type="dxa"/>
              <w:left w:w="120" w:type="dxa"/>
              <w:right w:w="120" w:type="dxa"/>
            </w:tcMar>
            <w:tcW w:w="3168" w:type="dxa"/>
          </w:tcPr>
          <w:p>
            <w:pPr>
              <w:jc w:val="center"/>
            </w:pPr>
            <w:r>
              <w:rPr>
                <w:rFonts w:ascii="Arial" w:hAnsi="Arial"/>
                <w:b w:val="0"/>
                <w:sz w:val="18"/>
              </w:rPr>
              <w:t>Año 4 (Q2)</w:t>
            </w:r>
          </w:p>
        </w:tc>
        <w:tc>
          <w:tcPr>
            <w:tcW w:type="dxa" w:w="2880"/>
            <w:vAlign w:val="center"/>
            <w:shd w:val="clear" w:color="auto" w:fill="FFF2CC"/>
            <w:tcMar>
              <w:top w:w="80" w:type="dxa"/>
              <w:bottom w:w="80" w:type="dxa"/>
              <w:left w:w="120" w:type="dxa"/>
              <w:right w:w="120" w:type="dxa"/>
            </w:tcMar>
            <w:tcW w:w="3168" w:type="dxa"/>
          </w:tcPr>
          <w:p>
            <w:pPr>
              <w:jc w:val="center"/>
            </w:pPr>
            <w:r>
              <w:rPr>
                <w:rFonts w:ascii="Arial" w:hAnsi="Arial"/>
                <w:b w:val="0"/>
                <w:sz w:val="18"/>
              </w:rPr>
              <w:t>Año 4 (Q4)</w:t>
            </w:r>
          </w:p>
        </w:tc>
      </w:tr>
    </w:tbl>
    <w:p>
      <w:pPr>
        <w:spacing w:before="40" w:after="160"/>
        <w:jc w:val="center"/>
      </w:pPr>
      <w:r>
        <w:rPr>
          <w:rFonts w:ascii="Arial" w:hAnsi="Arial"/>
          <w:i/>
          <w:color w:val="606060"/>
          <w:sz w:val="18"/>
        </w:rPr>
        <w:t>Tabla 1.1: Resumen financiero comparativo — versión realista (MXN). VAN negativo a 3 años es estructural: los ingresos de una SaaS agrícola no cubren OPEX hasta tener escala mínima de ~1,400 ha.</w:t>
      </w:r>
    </w:p>
    <w:p>
      <w:r>
        <w:br w:type="page"/>
      </w:r>
    </w:p>
    <w:p>
      <w:pPr>
        <w:pStyle w:val="Heading1"/>
      </w:pPr>
      <w:r>
        <w:rPr>
          <w:rFonts w:ascii="Arial" w:hAnsi="Arial"/>
          <w:color w:val="1F3864"/>
          <w:sz w:val="32"/>
        </w:rPr>
        <w:t>II. Análisis del Entorno y del Sector</w:t>
      </w:r>
    </w:p>
    <w:p>
      <w:pPr>
        <w:pStyle w:val="Heading2"/>
      </w:pPr>
      <w:r>
        <w:rPr>
          <w:rFonts w:ascii="Arial" w:hAnsi="Arial"/>
          <w:color w:val="2E75B6"/>
          <w:sz w:val="26"/>
        </w:rPr>
        <w:t>2.1 Contexto Hídrico de México</w:t>
      </w:r>
    </w:p>
    <w:p>
      <w:pPr>
        <w:spacing w:after="120"/>
        <w:jc w:val="left"/>
      </w:pPr>
      <w:r>
        <w:rPr>
          <w:rFonts w:ascii="Arial" w:hAnsi="Arial"/>
          <w:b w:val="0"/>
          <w:i w:val="0"/>
          <w:sz w:val="22"/>
        </w:rPr>
        <w:t>México clasifica el 77% de su territorio como árido o semiárido (CONAGUA, 2023). La agricultura consume el 76% del agua dulce nacional. De los 653 acuíferos del país, 157 están sobreexplotados; el acuífero del Valle del Yaqui es uno de los más presionados de Sonora, con niveles freáticos en descenso sistemático. La Ley de Aguas Nacionales y la NOM-011-CONAGUA-2015 imponen obligaciones de eficiencia hídrica que los productores del DR-041 aún incumplen por falta de herramientas de medición y gestión.</w:t>
      </w:r>
    </w:p>
    <w:p>
      <w:pPr>
        <w:spacing w:after="40"/>
      </w:pPr>
    </w:p>
    <w:p>
      <w:pPr>
        <w:pStyle w:val="Heading2"/>
      </w:pPr>
      <w:r>
        <w:rPr>
          <w:rFonts w:ascii="Arial" w:hAnsi="Arial"/>
          <w:color w:val="2E75B6"/>
          <w:sz w:val="26"/>
        </w:rPr>
        <w:t>2.2 Sector AgTech en México</w:t>
      </w:r>
    </w:p>
    <w:p>
      <w:pPr>
        <w:spacing w:after="120"/>
        <w:jc w:val="left"/>
      </w:pPr>
      <w:r>
        <w:rPr>
          <w:rFonts w:ascii="Arial" w:hAnsi="Arial"/>
          <w:b w:val="0"/>
          <w:i w:val="0"/>
          <w:sz w:val="22"/>
        </w:rPr>
        <w:t>El mercado AgTech en México superó los USD 280 millones en 2024 y crece a una tasa anual del 18–22% (Agrotools, 2024). Sin embargo, más del 80% de las soluciones disponibles están diseñadas para agricultura tecnificada de gran escala (&gt;500 ha), ignorando al 94% de los productores agrícolas mexicanos que operan en superficies menores. Existe un nicho estructural desatendido en soluciones de bajo costo para pequeños y medianos productores de zonas áridas irrigadas.</w:t>
      </w:r>
    </w:p>
    <w:p>
      <w:pPr>
        <w:spacing w:before="80" w:after="160"/>
        <w:ind w:left="216"/>
        <w:shd w:val="clear" w:color="auto" w:fill="FFDCE1"/>
        <w:pBdr>
          <w:left w:val="single" w:sz="18" w:space="4" w:color="C0392B"/>
        </w:pBdr>
      </w:pPr>
      <w:r>
        <w:rPr>
          <w:rFonts w:ascii="Arial" w:hAnsi="Arial"/>
          <w:i/>
          <w:color w:val="333333"/>
          <w:sz w:val="20"/>
        </w:rPr>
        <w:t>Riesgo no documentado en la versión anterior: CONAGUA ha desarrollado herramientas internas de gestión hídrica. Si publican una app gratuita con funcionalidades básicas FAO-56 — técnicamente trivial dado que el estándar es open-source — el modelo de precios de MILPÍN en el segmento institucional queda directamente amenazado. Esta posibilidad debe monitorearse activamente.</w:t>
      </w:r>
    </w:p>
    <w:p>
      <w:pPr>
        <w:spacing w:after="40"/>
      </w:pPr>
    </w:p>
    <w:p>
      <w:pPr>
        <w:pStyle w:val="Heading2"/>
      </w:pPr>
      <w:r>
        <w:rPr>
          <w:rFonts w:ascii="Arial" w:hAnsi="Arial"/>
          <w:color w:val="2E75B6"/>
          <w:sz w:val="26"/>
        </w:rPr>
        <w:t>2.3 Análisis PESTEL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3864"/>
            <w:tcMar>
              <w:top w:w="80" w:type="dxa"/>
              <w:bottom w:w="80" w:type="dxa"/>
              <w:left w:w="120" w:type="dxa"/>
              <w:right w:w="120" w:type="dxa"/>
            </w:tcMar>
            <w:tcW w:w="1728" w:type="dxa"/>
          </w:tcPr>
          <w:p>
            <w:pPr>
              <w:jc w:val="center"/>
            </w:pPr>
            <w:r>
              <w:rPr>
                <w:rFonts w:ascii="Arial" w:hAnsi="Arial"/>
                <w:b/>
                <w:color w:val="FFFFFF"/>
                <w:sz w:val="18"/>
              </w:rPr>
              <w:t>Dimensión</w:t>
            </w:r>
          </w:p>
        </w:tc>
        <w:tc>
          <w:tcPr>
            <w:tcW w:type="dxa" w:w="2880"/>
            <w:vAlign w:val="center"/>
            <w:shd w:val="clear" w:color="auto" w:fill="1F3864"/>
            <w:tcMar>
              <w:top w:w="80" w:type="dxa"/>
              <w:bottom w:w="80" w:type="dxa"/>
              <w:left w:w="120" w:type="dxa"/>
              <w:right w:w="120" w:type="dxa"/>
            </w:tcMar>
            <w:tcW w:w="4031" w:type="dxa"/>
          </w:tcPr>
          <w:p>
            <w:pPr>
              <w:jc w:val="center"/>
            </w:pPr>
            <w:r>
              <w:rPr>
                <w:rFonts w:ascii="Arial" w:hAnsi="Arial"/>
                <w:b/>
                <w:color w:val="FFFFFF"/>
                <w:sz w:val="18"/>
              </w:rPr>
              <w:t>Factor</w:t>
            </w:r>
          </w:p>
        </w:tc>
        <w:tc>
          <w:tcPr>
            <w:tcW w:type="dxa" w:w="2880"/>
            <w:vAlign w:val="center"/>
            <w:shd w:val="clear" w:color="auto" w:fill="1F3864"/>
            <w:tcMar>
              <w:top w:w="80" w:type="dxa"/>
              <w:bottom w:w="80" w:type="dxa"/>
              <w:left w:w="120" w:type="dxa"/>
              <w:right w:w="120" w:type="dxa"/>
            </w:tcMar>
            <w:tcW w:w="4896" w:type="dxa"/>
          </w:tcPr>
          <w:p>
            <w:pPr>
              <w:jc w:val="center"/>
            </w:pPr>
            <w:r>
              <w:rPr>
                <w:rFonts w:ascii="Arial" w:hAnsi="Arial"/>
                <w:b/>
                <w:color w:val="FFFFFF"/>
                <w:sz w:val="18"/>
              </w:rPr>
              <w:t>Impacto en MILPÍN</w:t>
            </w:r>
          </w:p>
        </w:tc>
      </w:tr>
      <w:tr>
        <w:tc>
          <w:tcPr>
            <w:tcW w:type="dxa" w:w="2880"/>
            <w:vAlign w:val="center"/>
            <w:shd w:val="clear" w:color="auto" w:fill="F2F2F2"/>
            <w:tcMar>
              <w:top w:w="80" w:type="dxa"/>
              <w:bottom w:w="80" w:type="dxa"/>
              <w:left w:w="120" w:type="dxa"/>
              <w:right w:w="120" w:type="dxa"/>
            </w:tcMar>
            <w:tcW w:w="1728" w:type="dxa"/>
          </w:tcPr>
          <w:p>
            <w:pPr>
              <w:jc w:val="left"/>
            </w:pPr>
            <w:r>
              <w:rPr>
                <w:rFonts w:ascii="Arial" w:hAnsi="Arial"/>
                <w:b w:val="0"/>
                <w:sz w:val="18"/>
              </w:rPr>
              <w:t>Político</w:t>
            </w:r>
          </w:p>
        </w:tc>
        <w:tc>
          <w:tcPr>
            <w:tcW w:type="dxa" w:w="2880"/>
            <w:vAlign w:val="center"/>
            <w:shd w:val="clear" w:color="auto" w:fill="F2F2F2"/>
            <w:tcMar>
              <w:top w:w="80" w:type="dxa"/>
              <w:bottom w:w="80" w:type="dxa"/>
              <w:left w:w="120" w:type="dxa"/>
              <w:right w:w="120" w:type="dxa"/>
            </w:tcMar>
            <w:tcW w:w="4031" w:type="dxa"/>
          </w:tcPr>
          <w:p>
            <w:pPr>
              <w:jc w:val="left"/>
            </w:pPr>
            <w:r>
              <w:rPr>
                <w:rFonts w:ascii="Arial" w:hAnsi="Arial"/>
                <w:b w:val="0"/>
                <w:sz w:val="18"/>
              </w:rPr>
              <w:t>Programa Nacional Hídrico 2030 (CONAGUA)</w:t>
            </w:r>
          </w:p>
        </w:tc>
        <w:tc>
          <w:tcPr>
            <w:tcW w:type="dxa" w:w="2880"/>
            <w:vAlign w:val="center"/>
            <w:shd w:val="clear" w:color="auto" w:fill="F2F2F2"/>
            <w:tcMar>
              <w:top w:w="80" w:type="dxa"/>
              <w:bottom w:w="80" w:type="dxa"/>
              <w:left w:w="120" w:type="dxa"/>
              <w:right w:w="120" w:type="dxa"/>
            </w:tcMar>
            <w:tcW w:w="4896" w:type="dxa"/>
          </w:tcPr>
          <w:p>
            <w:pPr>
              <w:jc w:val="left"/>
            </w:pPr>
            <w:r>
              <w:rPr>
                <w:rFonts w:ascii="Arial" w:hAnsi="Arial"/>
                <w:b w:val="0"/>
                <w:sz w:val="18"/>
              </w:rPr>
              <w:t>Favorece: alinea con metas gubernamentales</w:t>
            </w:r>
          </w:p>
        </w:tc>
      </w:tr>
      <w:tr>
        <w:tc>
          <w:tcPr>
            <w:tcW w:type="dxa" w:w="2880"/>
            <w:vAlign w:val="center"/>
            <w:shd w:val="clear" w:color="auto" w:fill="FFFFFF"/>
            <w:tcMar>
              <w:top w:w="80" w:type="dxa"/>
              <w:bottom w:w="80" w:type="dxa"/>
              <w:left w:w="120" w:type="dxa"/>
              <w:right w:w="120" w:type="dxa"/>
            </w:tcMar>
            <w:tcW w:w="1728" w:type="dxa"/>
          </w:tcPr>
          <w:p>
            <w:pPr>
              <w:jc w:val="left"/>
            </w:pPr>
            <w:r>
              <w:rPr>
                <w:rFonts w:ascii="Arial" w:hAnsi="Arial"/>
                <w:b w:val="0"/>
                <w:sz w:val="18"/>
              </w:rPr>
              <w:t>Económico</w:t>
            </w:r>
          </w:p>
        </w:tc>
        <w:tc>
          <w:tcPr>
            <w:tcW w:type="dxa" w:w="2880"/>
            <w:vAlign w:val="center"/>
            <w:shd w:val="clear" w:color="auto" w:fill="FFFFFF"/>
            <w:tcMar>
              <w:top w:w="80" w:type="dxa"/>
              <w:bottom w:w="80" w:type="dxa"/>
              <w:left w:w="120" w:type="dxa"/>
              <w:right w:w="120" w:type="dxa"/>
            </w:tcMar>
            <w:tcW w:w="4031" w:type="dxa"/>
          </w:tcPr>
          <w:p>
            <w:pPr>
              <w:jc w:val="left"/>
            </w:pPr>
            <w:r>
              <w:rPr>
                <w:rFonts w:ascii="Arial" w:hAnsi="Arial"/>
                <w:b w:val="0"/>
                <w:sz w:val="18"/>
              </w:rPr>
              <w:t>Altos costos energéticos CFE sector agrícola</w:t>
            </w:r>
          </w:p>
        </w:tc>
        <w:tc>
          <w:tcPr>
            <w:tcW w:type="dxa" w:w="2880"/>
            <w:vAlign w:val="center"/>
            <w:shd w:val="clear" w:color="auto" w:fill="FFFFFF"/>
            <w:tcMar>
              <w:top w:w="80" w:type="dxa"/>
              <w:bottom w:w="80" w:type="dxa"/>
              <w:left w:w="120" w:type="dxa"/>
              <w:right w:w="120" w:type="dxa"/>
            </w:tcMar>
            <w:tcW w:w="4896" w:type="dxa"/>
          </w:tcPr>
          <w:p>
            <w:pPr>
              <w:jc w:val="left"/>
            </w:pPr>
            <w:r>
              <w:rPr>
                <w:rFonts w:ascii="Arial" w:hAnsi="Arial"/>
                <w:b w:val="0"/>
                <w:sz w:val="18"/>
              </w:rPr>
              <w:t>Favorece: el ahorro es directamente medible</w:t>
            </w:r>
          </w:p>
        </w:tc>
      </w:tr>
      <w:tr>
        <w:tc>
          <w:tcPr>
            <w:tcW w:type="dxa" w:w="2880"/>
            <w:vAlign w:val="center"/>
            <w:shd w:val="clear" w:color="auto" w:fill="F2F2F2"/>
            <w:tcMar>
              <w:top w:w="80" w:type="dxa"/>
              <w:bottom w:w="80" w:type="dxa"/>
              <w:left w:w="120" w:type="dxa"/>
              <w:right w:w="120" w:type="dxa"/>
            </w:tcMar>
            <w:tcW w:w="1728" w:type="dxa"/>
          </w:tcPr>
          <w:p>
            <w:pPr>
              <w:jc w:val="left"/>
            </w:pPr>
            <w:r>
              <w:rPr>
                <w:rFonts w:ascii="Arial" w:hAnsi="Arial"/>
                <w:b w:val="0"/>
                <w:sz w:val="18"/>
              </w:rPr>
              <w:t>Social</w:t>
            </w:r>
          </w:p>
        </w:tc>
        <w:tc>
          <w:tcPr>
            <w:tcW w:type="dxa" w:w="2880"/>
            <w:vAlign w:val="center"/>
            <w:shd w:val="clear" w:color="auto" w:fill="F2F2F2"/>
            <w:tcMar>
              <w:top w:w="80" w:type="dxa"/>
              <w:bottom w:w="80" w:type="dxa"/>
              <w:left w:w="120" w:type="dxa"/>
              <w:right w:w="120" w:type="dxa"/>
            </w:tcMar>
            <w:tcW w:w="4031" w:type="dxa"/>
          </w:tcPr>
          <w:p>
            <w:pPr>
              <w:jc w:val="left"/>
            </w:pPr>
            <w:r>
              <w:rPr>
                <w:rFonts w:ascii="Arial" w:hAnsi="Arial"/>
                <w:b w:val="0"/>
                <w:sz w:val="18"/>
              </w:rPr>
              <w:t>Resistencia al cambio tecnológico del productor mayor</w:t>
            </w:r>
          </w:p>
        </w:tc>
        <w:tc>
          <w:tcPr>
            <w:tcW w:type="dxa" w:w="2880"/>
            <w:vAlign w:val="center"/>
            <w:shd w:val="clear" w:color="auto" w:fill="F2F2F2"/>
            <w:tcMar>
              <w:top w:w="80" w:type="dxa"/>
              <w:bottom w:w="80" w:type="dxa"/>
              <w:left w:w="120" w:type="dxa"/>
              <w:right w:w="120" w:type="dxa"/>
            </w:tcMar>
            <w:tcW w:w="4896" w:type="dxa"/>
          </w:tcPr>
          <w:p>
            <w:pPr>
              <w:jc w:val="left"/>
            </w:pPr>
            <w:r>
              <w:rPr>
                <w:rFonts w:ascii="Arial" w:hAnsi="Arial"/>
                <w:b w:val="0"/>
                <w:sz w:val="18"/>
              </w:rPr>
              <w:t>Riesgo alto: requiere acompañamiento de campo y mínimo 1 ciclo de prueba</w:t>
            </w:r>
          </w:p>
        </w:tc>
      </w:tr>
      <w:tr>
        <w:tc>
          <w:tcPr>
            <w:tcW w:type="dxa" w:w="2880"/>
            <w:vAlign w:val="center"/>
            <w:shd w:val="clear" w:color="auto" w:fill="FFFFFF"/>
            <w:tcMar>
              <w:top w:w="80" w:type="dxa"/>
              <w:bottom w:w="80" w:type="dxa"/>
              <w:left w:w="120" w:type="dxa"/>
              <w:right w:w="120" w:type="dxa"/>
            </w:tcMar>
            <w:tcW w:w="1728" w:type="dxa"/>
          </w:tcPr>
          <w:p>
            <w:pPr>
              <w:jc w:val="left"/>
            </w:pPr>
            <w:r>
              <w:rPr>
                <w:rFonts w:ascii="Arial" w:hAnsi="Arial"/>
                <w:b w:val="0"/>
                <w:sz w:val="18"/>
              </w:rPr>
              <w:t>Tecnológico</w:t>
            </w:r>
          </w:p>
        </w:tc>
        <w:tc>
          <w:tcPr>
            <w:tcW w:type="dxa" w:w="2880"/>
            <w:vAlign w:val="center"/>
            <w:shd w:val="clear" w:color="auto" w:fill="FFFFFF"/>
            <w:tcMar>
              <w:top w:w="80" w:type="dxa"/>
              <w:bottom w:w="80" w:type="dxa"/>
              <w:left w:w="120" w:type="dxa"/>
              <w:right w:w="120" w:type="dxa"/>
            </w:tcMar>
            <w:tcW w:w="4031" w:type="dxa"/>
          </w:tcPr>
          <w:p>
            <w:pPr>
              <w:jc w:val="left"/>
            </w:pPr>
            <w:r>
              <w:rPr>
                <w:rFonts w:ascii="Arial" w:hAnsi="Arial"/>
                <w:b w:val="0"/>
                <w:sz w:val="18"/>
              </w:rPr>
              <w:t>Penetración smartphone en zonas rurales (~68%)</w:t>
            </w:r>
          </w:p>
        </w:tc>
        <w:tc>
          <w:tcPr>
            <w:tcW w:type="dxa" w:w="2880"/>
            <w:vAlign w:val="center"/>
            <w:shd w:val="clear" w:color="auto" w:fill="FFFFFF"/>
            <w:tcMar>
              <w:top w:w="80" w:type="dxa"/>
              <w:bottom w:w="80" w:type="dxa"/>
              <w:left w:w="120" w:type="dxa"/>
              <w:right w:w="120" w:type="dxa"/>
            </w:tcMar>
            <w:tcW w:w="4896" w:type="dxa"/>
          </w:tcPr>
          <w:p>
            <w:pPr>
              <w:jc w:val="left"/>
            </w:pPr>
            <w:r>
              <w:rPr>
                <w:rFonts w:ascii="Arial" w:hAnsi="Arial"/>
                <w:b w:val="0"/>
                <w:sz w:val="18"/>
              </w:rPr>
              <w:t>Favorable, pero ≠ conectividad confiable en parcela (riesgo operativo)</w:t>
            </w:r>
          </w:p>
        </w:tc>
      </w:tr>
      <w:tr>
        <w:tc>
          <w:tcPr>
            <w:tcW w:type="dxa" w:w="2880"/>
            <w:vAlign w:val="center"/>
            <w:shd w:val="clear" w:color="auto" w:fill="F2F2F2"/>
            <w:tcMar>
              <w:top w:w="80" w:type="dxa"/>
              <w:bottom w:w="80" w:type="dxa"/>
              <w:left w:w="120" w:type="dxa"/>
              <w:right w:w="120" w:type="dxa"/>
            </w:tcMar>
            <w:tcW w:w="1728" w:type="dxa"/>
          </w:tcPr>
          <w:p>
            <w:pPr>
              <w:jc w:val="left"/>
            </w:pPr>
            <w:r>
              <w:rPr>
                <w:rFonts w:ascii="Arial" w:hAnsi="Arial"/>
                <w:b w:val="0"/>
                <w:sz w:val="18"/>
              </w:rPr>
              <w:t>Ecológico</w:t>
            </w:r>
          </w:p>
        </w:tc>
        <w:tc>
          <w:tcPr>
            <w:tcW w:type="dxa" w:w="2880"/>
            <w:vAlign w:val="center"/>
            <w:shd w:val="clear" w:color="auto" w:fill="F2F2F2"/>
            <w:tcMar>
              <w:top w:w="80" w:type="dxa"/>
              <w:bottom w:w="80" w:type="dxa"/>
              <w:left w:w="120" w:type="dxa"/>
              <w:right w:w="120" w:type="dxa"/>
            </w:tcMar>
            <w:tcW w:w="4031" w:type="dxa"/>
          </w:tcPr>
          <w:p>
            <w:pPr>
              <w:jc w:val="left"/>
            </w:pPr>
            <w:r>
              <w:rPr>
                <w:rFonts w:ascii="Arial" w:hAnsi="Arial"/>
                <w:b w:val="0"/>
                <w:sz w:val="18"/>
              </w:rPr>
              <w:t>Sobreexplotación de acuíferos + estrés hídrico</w:t>
            </w:r>
          </w:p>
        </w:tc>
        <w:tc>
          <w:tcPr>
            <w:tcW w:type="dxa" w:w="2880"/>
            <w:vAlign w:val="center"/>
            <w:shd w:val="clear" w:color="auto" w:fill="F2F2F2"/>
            <w:tcMar>
              <w:top w:w="80" w:type="dxa"/>
              <w:bottom w:w="80" w:type="dxa"/>
              <w:left w:w="120" w:type="dxa"/>
              <w:right w:w="120" w:type="dxa"/>
            </w:tcMar>
            <w:tcW w:w="4896" w:type="dxa"/>
          </w:tcPr>
          <w:p>
            <w:pPr>
              <w:jc w:val="left"/>
            </w:pPr>
            <w:r>
              <w:rPr>
                <w:rFonts w:ascii="Arial" w:hAnsi="Arial"/>
                <w:b w:val="0"/>
                <w:sz w:val="18"/>
              </w:rPr>
              <w:t>Favorece: urgencia ambiental real y creciente</w:t>
            </w:r>
          </w:p>
        </w:tc>
      </w:tr>
      <w:tr>
        <w:tc>
          <w:tcPr>
            <w:tcW w:type="dxa" w:w="2880"/>
            <w:vAlign w:val="center"/>
            <w:shd w:val="clear" w:color="auto" w:fill="FFFFFF"/>
            <w:tcMar>
              <w:top w:w="80" w:type="dxa"/>
              <w:bottom w:w="80" w:type="dxa"/>
              <w:left w:w="120" w:type="dxa"/>
              <w:right w:w="120" w:type="dxa"/>
            </w:tcMar>
            <w:tcW w:w="1728" w:type="dxa"/>
          </w:tcPr>
          <w:p>
            <w:pPr>
              <w:jc w:val="left"/>
            </w:pPr>
            <w:r>
              <w:rPr>
                <w:rFonts w:ascii="Arial" w:hAnsi="Arial"/>
                <w:b w:val="0"/>
                <w:sz w:val="18"/>
              </w:rPr>
              <w:t>Legal</w:t>
            </w:r>
          </w:p>
        </w:tc>
        <w:tc>
          <w:tcPr>
            <w:tcW w:type="dxa" w:w="2880"/>
            <w:vAlign w:val="center"/>
            <w:shd w:val="clear" w:color="auto" w:fill="FFFFFF"/>
            <w:tcMar>
              <w:top w:w="80" w:type="dxa"/>
              <w:bottom w:w="80" w:type="dxa"/>
              <w:left w:w="120" w:type="dxa"/>
              <w:right w:w="120" w:type="dxa"/>
            </w:tcMar>
            <w:tcW w:w="4031" w:type="dxa"/>
          </w:tcPr>
          <w:p>
            <w:pPr>
              <w:jc w:val="left"/>
            </w:pPr>
            <w:r>
              <w:rPr>
                <w:rFonts w:ascii="Arial" w:hAnsi="Arial"/>
                <w:b w:val="0"/>
                <w:sz w:val="18"/>
              </w:rPr>
              <w:t>NOM-011-CONAGUA, Ley de Aguas Nacionales</w:t>
            </w:r>
          </w:p>
        </w:tc>
        <w:tc>
          <w:tcPr>
            <w:tcW w:type="dxa" w:w="2880"/>
            <w:vAlign w:val="center"/>
            <w:shd w:val="clear" w:color="auto" w:fill="FFFFFF"/>
            <w:tcMar>
              <w:top w:w="80" w:type="dxa"/>
              <w:bottom w:w="80" w:type="dxa"/>
              <w:left w:w="120" w:type="dxa"/>
              <w:right w:w="120" w:type="dxa"/>
            </w:tcMar>
            <w:tcW w:w="4896" w:type="dxa"/>
          </w:tcPr>
          <w:p>
            <w:pPr>
              <w:jc w:val="left"/>
            </w:pPr>
            <w:r>
              <w:rPr>
                <w:rFonts w:ascii="Arial" w:hAnsi="Arial"/>
                <w:b w:val="0"/>
                <w:sz w:val="18"/>
              </w:rPr>
              <w:t>Favorece: la regulación obliga eficiencia</w:t>
            </w:r>
          </w:p>
        </w:tc>
      </w:tr>
    </w:tbl>
    <w:p>
      <w:pPr>
        <w:spacing w:before="40" w:after="160"/>
        <w:jc w:val="center"/>
      </w:pPr>
      <w:r>
        <w:rPr>
          <w:rFonts w:ascii="Arial" w:hAnsi="Arial"/>
          <w:i/>
          <w:color w:val="606060"/>
          <w:sz w:val="18"/>
        </w:rPr>
        <w:t>Tabla 2.1: Análisis PESTEL aplicado a MILPÍN AgTech</w:t>
      </w:r>
    </w:p>
    <w:p>
      <w:pPr>
        <w:spacing w:after="40"/>
      </w:pPr>
    </w:p>
    <w:p>
      <w:pPr>
        <w:pStyle w:val="Heading2"/>
      </w:pPr>
      <w:r>
        <w:rPr>
          <w:rFonts w:ascii="Arial" w:hAnsi="Arial"/>
          <w:color w:val="2E75B6"/>
          <w:sz w:val="26"/>
        </w:rPr>
        <w:t>2.4 Panorama Competitivo</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3864"/>
            <w:tcMar>
              <w:top w:w="80" w:type="dxa"/>
              <w:bottom w:w="80" w:type="dxa"/>
              <w:left w:w="120" w:type="dxa"/>
              <w:right w:w="120" w:type="dxa"/>
            </w:tcMar>
            <w:tcW w:w="2880" w:type="dxa"/>
          </w:tcPr>
          <w:p>
            <w:pPr>
              <w:jc w:val="center"/>
            </w:pPr>
            <w:r>
              <w:rPr>
                <w:rFonts w:ascii="Arial" w:hAnsi="Arial"/>
                <w:b/>
                <w:color w:val="FFFFFF"/>
                <w:sz w:val="18"/>
              </w:rPr>
              <w:t>Competidor</w:t>
            </w:r>
          </w:p>
        </w:tc>
        <w:tc>
          <w:tcPr>
            <w:tcW w:type="dxa" w:w="2880"/>
            <w:vAlign w:val="center"/>
            <w:shd w:val="clear" w:color="auto" w:fill="1F3864"/>
            <w:tcMar>
              <w:top w:w="80" w:type="dxa"/>
              <w:bottom w:w="80" w:type="dxa"/>
              <w:left w:w="120" w:type="dxa"/>
              <w:right w:w="120" w:type="dxa"/>
            </w:tcMar>
            <w:tcW w:w="3600" w:type="dxa"/>
          </w:tcPr>
          <w:p>
            <w:pPr>
              <w:jc w:val="center"/>
            </w:pPr>
            <w:r>
              <w:rPr>
                <w:rFonts w:ascii="Arial" w:hAnsi="Arial"/>
                <w:b/>
                <w:color w:val="FFFFFF"/>
                <w:sz w:val="18"/>
              </w:rPr>
              <w:t>Fortaleza</w:t>
            </w:r>
          </w:p>
        </w:tc>
        <w:tc>
          <w:tcPr>
            <w:tcW w:type="dxa" w:w="2880"/>
            <w:vAlign w:val="center"/>
            <w:shd w:val="clear" w:color="auto" w:fill="1F3864"/>
            <w:tcMar>
              <w:top w:w="80" w:type="dxa"/>
              <w:bottom w:w="80" w:type="dxa"/>
              <w:left w:w="120" w:type="dxa"/>
              <w:right w:w="120" w:type="dxa"/>
            </w:tcMar>
            <w:tcW w:w="4176" w:type="dxa"/>
          </w:tcPr>
          <w:p>
            <w:pPr>
              <w:jc w:val="center"/>
            </w:pPr>
            <w:r>
              <w:rPr>
                <w:rFonts w:ascii="Arial" w:hAnsi="Arial"/>
                <w:b/>
                <w:color w:val="FFFFFF"/>
                <w:sz w:val="18"/>
              </w:rPr>
              <w:t>Debilidad vs. MILPÍN</w:t>
            </w:r>
          </w:p>
        </w:tc>
      </w:tr>
      <w:tr>
        <w:tc>
          <w:tcPr>
            <w:tcW w:type="dxa" w:w="2880"/>
            <w:vAlign w:val="center"/>
            <w:shd w:val="clear" w:color="auto" w:fill="F2F2F2"/>
            <w:tcMar>
              <w:top w:w="80" w:type="dxa"/>
              <w:bottom w:w="80" w:type="dxa"/>
              <w:left w:w="120" w:type="dxa"/>
              <w:right w:w="120" w:type="dxa"/>
            </w:tcMar>
            <w:tcW w:w="2880" w:type="dxa"/>
          </w:tcPr>
          <w:p>
            <w:pPr>
              <w:jc w:val="left"/>
            </w:pPr>
            <w:r>
              <w:rPr>
                <w:rFonts w:ascii="Arial" w:hAnsi="Arial"/>
                <w:b w:val="0"/>
                <w:sz w:val="18"/>
              </w:rPr>
              <w:t>SAP Agri</w:t>
            </w:r>
          </w:p>
        </w:tc>
        <w:tc>
          <w:tcPr>
            <w:tcW w:type="dxa" w:w="2880"/>
            <w:vAlign w:val="center"/>
            <w:shd w:val="clear" w:color="auto" w:fill="F2F2F2"/>
            <w:tcMar>
              <w:top w:w="80" w:type="dxa"/>
              <w:bottom w:w="80" w:type="dxa"/>
              <w:left w:w="120" w:type="dxa"/>
              <w:right w:w="120" w:type="dxa"/>
            </w:tcMar>
            <w:tcW w:w="3600" w:type="dxa"/>
          </w:tcPr>
          <w:p>
            <w:pPr>
              <w:jc w:val="left"/>
            </w:pPr>
            <w:r>
              <w:rPr>
                <w:rFonts w:ascii="Arial" w:hAnsi="Arial"/>
                <w:b w:val="0"/>
                <w:sz w:val="18"/>
              </w:rPr>
              <w:t>Marca global, integración ERP</w:t>
            </w:r>
          </w:p>
        </w:tc>
        <w:tc>
          <w:tcPr>
            <w:tcW w:type="dxa" w:w="2880"/>
            <w:vAlign w:val="center"/>
            <w:shd w:val="clear" w:color="auto" w:fill="F2F2F2"/>
            <w:tcMar>
              <w:top w:w="80" w:type="dxa"/>
              <w:bottom w:w="80" w:type="dxa"/>
              <w:left w:w="120" w:type="dxa"/>
              <w:right w:w="120" w:type="dxa"/>
            </w:tcMar>
            <w:tcW w:w="4176" w:type="dxa"/>
          </w:tcPr>
          <w:p>
            <w:pPr>
              <w:jc w:val="left"/>
            </w:pPr>
            <w:r>
              <w:rPr>
                <w:rFonts w:ascii="Arial" w:hAnsi="Arial"/>
                <w:b w:val="0"/>
                <w:sz w:val="18"/>
              </w:rPr>
              <w:t>Precio prohibitivo (+$500K USD), en inglés</w:t>
            </w:r>
          </w:p>
        </w:tc>
      </w:tr>
      <w:tr>
        <w:tc>
          <w:tcPr>
            <w:tcW w:type="dxa" w:w="2880"/>
            <w:vAlign w:val="center"/>
            <w:shd w:val="clear" w:color="auto" w:fill="FFFFFF"/>
            <w:tcMar>
              <w:top w:w="80" w:type="dxa"/>
              <w:bottom w:w="80" w:type="dxa"/>
              <w:left w:w="120" w:type="dxa"/>
              <w:right w:w="120" w:type="dxa"/>
            </w:tcMar>
            <w:tcW w:w="2880" w:type="dxa"/>
          </w:tcPr>
          <w:p>
            <w:pPr>
              <w:jc w:val="left"/>
            </w:pPr>
            <w:r>
              <w:rPr>
                <w:rFonts w:ascii="Arial" w:hAnsi="Arial"/>
                <w:b w:val="0"/>
                <w:sz w:val="18"/>
              </w:rPr>
              <w:t>Netafim FieldNET</w:t>
            </w:r>
          </w:p>
        </w:tc>
        <w:tc>
          <w:tcPr>
            <w:tcW w:type="dxa" w:w="2880"/>
            <w:vAlign w:val="center"/>
            <w:shd w:val="clear" w:color="auto" w:fill="FFFFFF"/>
            <w:tcMar>
              <w:top w:w="80" w:type="dxa"/>
              <w:bottom w:w="80" w:type="dxa"/>
              <w:left w:w="120" w:type="dxa"/>
              <w:right w:w="120" w:type="dxa"/>
            </w:tcMar>
            <w:tcW w:w="3600" w:type="dxa"/>
          </w:tcPr>
          <w:p>
            <w:pPr>
              <w:jc w:val="left"/>
            </w:pPr>
            <w:r>
              <w:rPr>
                <w:rFonts w:ascii="Arial" w:hAnsi="Arial"/>
                <w:b w:val="0"/>
                <w:sz w:val="18"/>
              </w:rPr>
              <w:t>Control automático de riego</w:t>
            </w:r>
          </w:p>
        </w:tc>
        <w:tc>
          <w:tcPr>
            <w:tcW w:type="dxa" w:w="2880"/>
            <w:vAlign w:val="center"/>
            <w:shd w:val="clear" w:color="auto" w:fill="FFFFFF"/>
            <w:tcMar>
              <w:top w:w="80" w:type="dxa"/>
              <w:bottom w:w="80" w:type="dxa"/>
              <w:left w:w="120" w:type="dxa"/>
              <w:right w:w="120" w:type="dxa"/>
            </w:tcMar>
            <w:tcW w:w="4176" w:type="dxa"/>
          </w:tcPr>
          <w:p>
            <w:pPr>
              <w:jc w:val="left"/>
            </w:pPr>
            <w:r>
              <w:rPr>
                <w:rFonts w:ascii="Arial" w:hAnsi="Arial"/>
                <w:b w:val="0"/>
                <w:sz w:val="18"/>
              </w:rPr>
              <w:t>Requiere infraestructura IoT costosa</w:t>
            </w:r>
          </w:p>
        </w:tc>
      </w:tr>
      <w:tr>
        <w:tc>
          <w:tcPr>
            <w:tcW w:type="dxa" w:w="2880"/>
            <w:vAlign w:val="center"/>
            <w:shd w:val="clear" w:color="auto" w:fill="F2F2F2"/>
            <w:tcMar>
              <w:top w:w="80" w:type="dxa"/>
              <w:bottom w:w="80" w:type="dxa"/>
              <w:left w:w="120" w:type="dxa"/>
              <w:right w:w="120" w:type="dxa"/>
            </w:tcMar>
            <w:tcW w:w="2880" w:type="dxa"/>
          </w:tcPr>
          <w:p>
            <w:pPr>
              <w:jc w:val="left"/>
            </w:pPr>
            <w:r>
              <w:rPr>
                <w:rFonts w:ascii="Arial" w:hAnsi="Arial"/>
                <w:b w:val="0"/>
                <w:sz w:val="18"/>
              </w:rPr>
              <w:t>IrriSAT (CSIRO)</w:t>
            </w:r>
          </w:p>
        </w:tc>
        <w:tc>
          <w:tcPr>
            <w:tcW w:type="dxa" w:w="2880"/>
            <w:vAlign w:val="center"/>
            <w:shd w:val="clear" w:color="auto" w:fill="F2F2F2"/>
            <w:tcMar>
              <w:top w:w="80" w:type="dxa"/>
              <w:bottom w:w="80" w:type="dxa"/>
              <w:left w:w="120" w:type="dxa"/>
              <w:right w:w="120" w:type="dxa"/>
            </w:tcMar>
            <w:tcW w:w="3600" w:type="dxa"/>
          </w:tcPr>
          <w:p>
            <w:pPr>
              <w:jc w:val="left"/>
            </w:pPr>
            <w:r>
              <w:rPr>
                <w:rFonts w:ascii="Arial" w:hAnsi="Arial"/>
                <w:b w:val="0"/>
                <w:sz w:val="18"/>
              </w:rPr>
              <w:t>Motor ETP basado en satélite</w:t>
            </w:r>
          </w:p>
        </w:tc>
        <w:tc>
          <w:tcPr>
            <w:tcW w:type="dxa" w:w="2880"/>
            <w:vAlign w:val="center"/>
            <w:shd w:val="clear" w:color="auto" w:fill="F2F2F2"/>
            <w:tcMar>
              <w:top w:w="80" w:type="dxa"/>
              <w:bottom w:w="80" w:type="dxa"/>
              <w:left w:w="120" w:type="dxa"/>
              <w:right w:w="120" w:type="dxa"/>
            </w:tcMar>
            <w:tcW w:w="4176" w:type="dxa"/>
          </w:tcPr>
          <w:p>
            <w:pPr>
              <w:jc w:val="left"/>
            </w:pPr>
            <w:r>
              <w:rPr>
                <w:rFonts w:ascii="Arial" w:hAnsi="Arial"/>
                <w:b w:val="0"/>
                <w:sz w:val="18"/>
              </w:rPr>
              <w:t>Sin GIS, sin voz, sin BD local</w:t>
            </w:r>
          </w:p>
        </w:tc>
      </w:tr>
      <w:tr>
        <w:tc>
          <w:tcPr>
            <w:tcW w:type="dxa" w:w="2880"/>
            <w:vAlign w:val="center"/>
            <w:shd w:val="clear" w:color="auto" w:fill="FFFFFF"/>
            <w:tcMar>
              <w:top w:w="80" w:type="dxa"/>
              <w:bottom w:w="80" w:type="dxa"/>
              <w:left w:w="120" w:type="dxa"/>
              <w:right w:w="120" w:type="dxa"/>
            </w:tcMar>
            <w:tcW w:w="2880" w:type="dxa"/>
          </w:tcPr>
          <w:p>
            <w:pPr>
              <w:jc w:val="left"/>
            </w:pPr>
            <w:r>
              <w:rPr>
                <w:rFonts w:ascii="Arial" w:hAnsi="Arial"/>
                <w:b w:val="0"/>
                <w:sz w:val="18"/>
              </w:rPr>
              <w:t>Consultor agrónomo</w:t>
            </w:r>
          </w:p>
        </w:tc>
        <w:tc>
          <w:tcPr>
            <w:tcW w:type="dxa" w:w="2880"/>
            <w:vAlign w:val="center"/>
            <w:shd w:val="clear" w:color="auto" w:fill="FFFFFF"/>
            <w:tcMar>
              <w:top w:w="80" w:type="dxa"/>
              <w:bottom w:w="80" w:type="dxa"/>
              <w:left w:w="120" w:type="dxa"/>
              <w:right w:w="120" w:type="dxa"/>
            </w:tcMar>
            <w:tcW w:w="3600" w:type="dxa"/>
          </w:tcPr>
          <w:p>
            <w:pPr>
              <w:jc w:val="left"/>
            </w:pPr>
            <w:r>
              <w:rPr>
                <w:rFonts w:ascii="Arial" w:hAnsi="Arial"/>
                <w:b w:val="0"/>
                <w:sz w:val="18"/>
              </w:rPr>
              <w:t>Confianza del productor</w:t>
            </w:r>
          </w:p>
        </w:tc>
        <w:tc>
          <w:tcPr>
            <w:tcW w:type="dxa" w:w="2880"/>
            <w:vAlign w:val="center"/>
            <w:shd w:val="clear" w:color="auto" w:fill="FFFFFF"/>
            <w:tcMar>
              <w:top w:w="80" w:type="dxa"/>
              <w:bottom w:w="80" w:type="dxa"/>
              <w:left w:w="120" w:type="dxa"/>
              <w:right w:w="120" w:type="dxa"/>
            </w:tcMar>
            <w:tcW w:w="4176" w:type="dxa"/>
          </w:tcPr>
          <w:p>
            <w:pPr>
              <w:jc w:val="left"/>
            </w:pPr>
            <w:r>
              <w:rPr>
                <w:rFonts w:ascii="Arial" w:hAnsi="Arial"/>
                <w:b w:val="0"/>
                <w:sz w:val="18"/>
              </w:rPr>
              <w:t>Escalamiento nulo, sin trazabilidad</w:t>
            </w:r>
          </w:p>
        </w:tc>
      </w:tr>
      <w:tr>
        <w:tc>
          <w:tcPr>
            <w:tcW w:type="dxa" w:w="2880"/>
            <w:vAlign w:val="center"/>
            <w:shd w:val="clear" w:color="auto" w:fill="F2F2F2"/>
            <w:tcMar>
              <w:top w:w="80" w:type="dxa"/>
              <w:bottom w:w="80" w:type="dxa"/>
              <w:left w:w="120" w:type="dxa"/>
              <w:right w:w="120" w:type="dxa"/>
            </w:tcMar>
            <w:tcW w:w="2880" w:type="dxa"/>
          </w:tcPr>
          <w:p>
            <w:pPr>
              <w:jc w:val="left"/>
            </w:pPr>
            <w:r>
              <w:rPr>
                <w:rFonts w:ascii="Arial" w:hAnsi="Arial"/>
                <w:b w:val="0"/>
                <w:sz w:val="18"/>
              </w:rPr>
              <w:t>MILPÍN AgTech</w:t>
            </w:r>
          </w:p>
        </w:tc>
        <w:tc>
          <w:tcPr>
            <w:tcW w:type="dxa" w:w="2880"/>
            <w:vAlign w:val="center"/>
            <w:shd w:val="clear" w:color="auto" w:fill="F2F2F2"/>
            <w:tcMar>
              <w:top w:w="80" w:type="dxa"/>
              <w:bottom w:w="80" w:type="dxa"/>
              <w:left w:w="120" w:type="dxa"/>
              <w:right w:w="120" w:type="dxa"/>
            </w:tcMar>
            <w:tcW w:w="3600" w:type="dxa"/>
          </w:tcPr>
          <w:p>
            <w:pPr>
              <w:jc w:val="left"/>
            </w:pPr>
            <w:r>
              <w:rPr>
                <w:rFonts w:ascii="Arial" w:hAnsi="Arial"/>
                <w:b w:val="0"/>
                <w:sz w:val="18"/>
              </w:rPr>
              <w:t>FAO-56 + GIS + Voz + BD + bajo costo</w:t>
            </w:r>
          </w:p>
        </w:tc>
        <w:tc>
          <w:tcPr>
            <w:tcW w:type="dxa" w:w="2880"/>
            <w:vAlign w:val="center"/>
            <w:shd w:val="clear" w:color="auto" w:fill="F2F2F2"/>
            <w:tcMar>
              <w:top w:w="80" w:type="dxa"/>
              <w:bottom w:w="80" w:type="dxa"/>
              <w:left w:w="120" w:type="dxa"/>
              <w:right w:w="120" w:type="dxa"/>
            </w:tcMar>
            <w:tcW w:w="4176" w:type="dxa"/>
          </w:tcPr>
          <w:p>
            <w:pPr>
              <w:jc w:val="left"/>
            </w:pPr>
            <w:r>
              <w:rPr>
                <w:rFonts w:ascii="Arial" w:hAnsi="Arial"/>
                <w:b w:val="0"/>
                <w:sz w:val="18"/>
              </w:rPr>
              <w:t>Marca nueva, sin historial validado en campo</w:t>
            </w:r>
          </w:p>
        </w:tc>
      </w:tr>
    </w:tbl>
    <w:p>
      <w:pPr>
        <w:spacing w:before="40" w:after="160"/>
        <w:jc w:val="center"/>
      </w:pPr>
      <w:r>
        <w:rPr>
          <w:rFonts w:ascii="Arial" w:hAnsi="Arial"/>
          <w:i/>
          <w:color w:val="606060"/>
          <w:sz w:val="18"/>
        </w:rPr>
        <w:t>Tabla 2.2: Mapa competitivo del mercado AgTech en el segmento hídrico</w:t>
      </w:r>
    </w:p>
    <w:p>
      <w:r>
        <w:br w:type="page"/>
      </w:r>
    </w:p>
    <w:p>
      <w:pPr>
        <w:pStyle w:val="Heading1"/>
      </w:pPr>
      <w:r>
        <w:rPr>
          <w:rFonts w:ascii="Arial" w:hAnsi="Arial"/>
          <w:color w:val="1F3864"/>
          <w:sz w:val="32"/>
        </w:rPr>
        <w:t>III. Propuesta de Valor y Modelo de Negocio</w:t>
      </w:r>
    </w:p>
    <w:p>
      <w:pPr>
        <w:pStyle w:val="Heading2"/>
      </w:pPr>
      <w:r>
        <w:rPr>
          <w:rFonts w:ascii="Arial" w:hAnsi="Arial"/>
          <w:color w:val="2E75B6"/>
          <w:sz w:val="26"/>
        </w:rPr>
        <w:t>3.1 Segmento de Clientes Objetivo</w:t>
      </w:r>
    </w:p>
    <w:p>
      <w:pPr>
        <w:spacing w:after="120"/>
        <w:jc w:val="left"/>
      </w:pPr>
      <w:r>
        <w:rPr>
          <w:rFonts w:ascii="Arial" w:hAnsi="Arial"/>
          <w:b w:val="0"/>
          <w:i w:val="0"/>
          <w:sz w:val="22"/>
        </w:rPr>
        <w:t>El cliente primario es el productor agrícola de pequeña y mediana escala (10–200 ha) dentro del DR-041 Módulo 3. Perfil: adulto mayor de 40 años, con alta experiencia empírica en el campo pero baja adopción tecnológica. Valora la reducción de costos energéticos más que la innovación por sí misma. El cliente institucional son los módulos de riego y asociaciones que administran infraestructura hídrica y buscan demostrar eficiencia ante CONAGUA.</w:t>
      </w:r>
    </w:p>
    <w:p>
      <w:pPr>
        <w:spacing w:after="40"/>
      </w:pPr>
    </w:p>
    <w:p>
      <w:pPr>
        <w:pStyle w:val="Heading2"/>
      </w:pPr>
      <w:r>
        <w:rPr>
          <w:rFonts w:ascii="Arial" w:hAnsi="Arial"/>
          <w:color w:val="2E75B6"/>
          <w:sz w:val="26"/>
        </w:rPr>
        <w:t>3.2 Propuesta de Valor Central</w:t>
      </w:r>
    </w:p>
    <w:p>
      <w:pPr>
        <w:spacing w:after="120"/>
        <w:jc w:val="left"/>
      </w:pPr>
      <w:r>
        <w:rPr>
          <w:rFonts w:ascii="Arial" w:hAnsi="Arial"/>
          <w:b w:val="0"/>
          <w:i w:val="0"/>
          <w:sz w:val="22"/>
        </w:rPr>
        <w:t>MILPÍN AgTech permite al productor saber, cada mañana y por parcela, exactamente cuántos metros cúbicos de agua aplicar, a qué costo, y con qué nivel de urgencia. Esta información, hoy inexistente para el 92% del DR-041, reduce el sobreirrigado causado por incertidumbre y permite ahorrar en promedio entre $2,016 y $4,704 MXN/ha/ciclo en costos de bombeo (rango 12–28%).</w:t>
      </w:r>
    </w:p>
    <w:p>
      <w:pPr>
        <w:spacing w:before="80" w:after="160"/>
        <w:ind w:left="216"/>
        <w:shd w:val="clear" w:color="auto" w:fill="FFF2CC"/>
        <w:pBdr>
          <w:left w:val="single" w:sz="18" w:space="4" w:color="F0A000"/>
        </w:pBdr>
      </w:pPr>
      <w:r>
        <w:rPr>
          <w:rFonts w:ascii="Arial" w:hAnsi="Arial"/>
          <w:i/>
          <w:color w:val="333333"/>
          <w:sz w:val="20"/>
        </w:rPr>
        <w:t>Nota: la versión anterior usaba $3,360 MXN/ha/ciclo como ahorro puntual, asumiendo exactamente 25% de reducción. El rango 12–28% es más honesto: algunos productores ahorrarán más (suelo bien instrumentado, alta compliance), otros menos (parcelas con variabilidad de suelo alta, registro incompleto de riegos ejecutados).</w:t>
      </w:r>
    </w:p>
    <w:p>
      <w:pPr>
        <w:spacing w:after="40"/>
      </w:pPr>
    </w:p>
    <w:p>
      <w:pPr>
        <w:pStyle w:val="Heading2"/>
      </w:pPr>
      <w:r>
        <w:rPr>
          <w:rFonts w:ascii="Arial" w:hAnsi="Arial"/>
          <w:color w:val="2E75B6"/>
          <w:sz w:val="26"/>
        </w:rPr>
        <w:t>3.3 Lienzo Business Model Canvas</w:t>
      </w:r>
    </w:p>
    <w:p>
      <w:pPr>
        <w:spacing w:after="120"/>
        <w:jc w:val="left"/>
      </w:pPr>
      <w:r>
        <w:rPr>
          <w:rFonts w:ascii="Arial" w:hAnsi="Arial"/>
          <w:b w:val="0"/>
          <w:i w:val="0"/>
          <w:sz w:val="22"/>
        </w:rPr>
        <w:t>(Contenido igual a versión anterior — omitido por brevedad; ver tabla canónica en el plan original)</w:t>
      </w:r>
    </w:p>
    <w:p>
      <w:pPr>
        <w:spacing w:after="40"/>
      </w:pPr>
    </w:p>
    <w:p>
      <w:pPr>
        <w:pStyle w:val="Heading2"/>
      </w:pPr>
      <w:r>
        <w:rPr>
          <w:rFonts w:ascii="Arial" w:hAnsi="Arial"/>
          <w:color w:val="2E75B6"/>
          <w:sz w:val="26"/>
        </w:rPr>
        <w:t>3.4 Dos Alternativas de Modelo de Negocio</w:t>
      </w:r>
    </w:p>
    <w:p>
      <w:pPr>
        <w:spacing w:after="120"/>
        <w:jc w:val="left"/>
      </w:pPr>
      <w:r>
        <w:rPr>
          <w:rFonts w:ascii="Arial" w:hAnsi="Arial"/>
          <w:b w:val="0"/>
          <w:i w:val="0"/>
          <w:sz w:val="22"/>
        </w:rPr>
        <w:t>Modelo A — SaaS Agrícola por Suscripción: el productor paga $600 MXN/ha/ciclo. Tarifa institucional: $900 MXN/ha/año (&gt;500 ha), $700 MXN/ha/año (&gt;2,000 ha).</w:t>
      </w:r>
    </w:p>
    <w:p>
      <w:pPr>
        <w:spacing w:after="120"/>
        <w:jc w:val="left"/>
      </w:pPr>
      <w:r>
        <w:rPr>
          <w:rFonts w:ascii="Arial" w:hAnsi="Arial"/>
          <w:b w:val="0"/>
          <w:i w:val="0"/>
          <w:sz w:val="22"/>
        </w:rPr>
        <w:t>Ventaja: flujo de caja predecible. Riesgo: en año piloto donde el ahorro no se materializa (sequía, plagas, mala adopción), el productor percibe que pagó sin beneficio y abandona.</w:t>
      </w:r>
    </w:p>
    <w:p>
      <w:pPr>
        <w:spacing w:after="40"/>
      </w:pPr>
    </w:p>
    <w:p>
      <w:pPr>
        <w:spacing w:after="120"/>
        <w:jc w:val="left"/>
      </w:pPr>
      <w:r>
        <w:rPr>
          <w:rFonts w:ascii="Arial" w:hAnsi="Arial"/>
          <w:b w:val="0"/>
          <w:i w:val="0"/>
          <w:sz w:val="22"/>
        </w:rPr>
        <w:t>Modelo B — Pago por Desempeño (15% del ahorro): elimina la barrera de entrada. Riesgo operativo crítico: requiere medición confiable del ahorro real, que a su vez depende del registro fiel de riegos ejecutados (ver Sección 8.3 sobre frictions de captura de datos). Sin ese registro, el modelo B es contractualmente indefendible.</w:t>
      </w:r>
    </w:p>
    <w:p>
      <w:r>
        <w:br w:type="page"/>
      </w:r>
    </w:p>
    <w:p>
      <w:pPr>
        <w:pStyle w:val="Heading1"/>
      </w:pPr>
      <w:r>
        <w:rPr>
          <w:rFonts w:ascii="Arial" w:hAnsi="Arial"/>
          <w:color w:val="1F3864"/>
          <w:sz w:val="32"/>
        </w:rPr>
        <w:t>IV. Estudio de Mercado</w:t>
      </w:r>
    </w:p>
    <w:p>
      <w:pPr>
        <w:pStyle w:val="Heading2"/>
      </w:pPr>
      <w:r>
        <w:rPr>
          <w:rFonts w:ascii="Arial" w:hAnsi="Arial"/>
          <w:color w:val="2E75B6"/>
          <w:sz w:val="26"/>
        </w:rPr>
        <w:t>4.1 Segmentación del Mercado</w:t>
      </w:r>
    </w:p>
    <w:p>
      <w:pPr>
        <w:spacing w:after="120"/>
        <w:jc w:val="left"/>
      </w:pPr>
      <w:r>
        <w:rPr>
          <w:rFonts w:ascii="Arial" w:hAnsi="Arial"/>
          <w:b w:val="0"/>
          <w:i w:val="0"/>
          <w:sz w:val="22"/>
        </w:rPr>
        <w:t>El mercado se segmenta en tres niveles geográficos de expansión: primario (DR-041, Valle del Yaqui), secundario (otros distritos de riego de Sonora y Sinaloa), y terciario (resto de los 86 distritos de riego de México).</w:t>
      </w:r>
    </w:p>
    <w:p>
      <w:pPr>
        <w:spacing w:after="40"/>
      </w:pPr>
    </w:p>
    <w:p>
      <w:pPr>
        <w:pStyle w:val="Heading2"/>
      </w:pPr>
      <w:r>
        <w:rPr>
          <w:rFonts w:ascii="Arial" w:hAnsi="Arial"/>
          <w:color w:val="2E75B6"/>
          <w:sz w:val="26"/>
        </w:rPr>
        <w:t>4.2 Estimación de Mercado: TAM / SAM / SOM</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3864"/>
            <w:tcMar>
              <w:top w:w="80" w:type="dxa"/>
              <w:bottom w:w="80" w:type="dxa"/>
              <w:left w:w="120" w:type="dxa"/>
              <w:right w:w="120" w:type="dxa"/>
            </w:tcMar>
            <w:tcW w:w="2160" w:type="dxa"/>
          </w:tcPr>
          <w:p>
            <w:pPr>
              <w:jc w:val="center"/>
            </w:pPr>
            <w:r>
              <w:rPr>
                <w:rFonts w:ascii="Arial" w:hAnsi="Arial"/>
                <w:b/>
                <w:color w:val="FFFFFF"/>
                <w:sz w:val="18"/>
              </w:rPr>
              <w:t>Nivel</w:t>
            </w:r>
          </w:p>
        </w:tc>
        <w:tc>
          <w:tcPr>
            <w:tcW w:type="dxa" w:w="2160"/>
            <w:vAlign w:val="center"/>
            <w:shd w:val="clear" w:color="auto" w:fill="1F3864"/>
            <w:tcMar>
              <w:top w:w="80" w:type="dxa"/>
              <w:bottom w:w="80" w:type="dxa"/>
              <w:left w:w="120" w:type="dxa"/>
              <w:right w:w="120" w:type="dxa"/>
            </w:tcMar>
            <w:tcW w:w="3600" w:type="dxa"/>
          </w:tcPr>
          <w:p>
            <w:pPr>
              <w:jc w:val="center"/>
            </w:pPr>
            <w:r>
              <w:rPr>
                <w:rFonts w:ascii="Arial" w:hAnsi="Arial"/>
                <w:b/>
                <w:color w:val="FFFFFF"/>
                <w:sz w:val="18"/>
              </w:rPr>
              <w:t>Descripción</w:t>
            </w:r>
          </w:p>
        </w:tc>
        <w:tc>
          <w:tcPr>
            <w:tcW w:type="dxa" w:w="2160"/>
            <w:vAlign w:val="center"/>
            <w:shd w:val="clear" w:color="auto" w:fill="1F3864"/>
            <w:tcMar>
              <w:top w:w="80" w:type="dxa"/>
              <w:bottom w:w="80" w:type="dxa"/>
              <w:left w:w="120" w:type="dxa"/>
              <w:right w:w="120" w:type="dxa"/>
            </w:tcMar>
            <w:tcW w:w="2160" w:type="dxa"/>
          </w:tcPr>
          <w:p>
            <w:pPr>
              <w:jc w:val="center"/>
            </w:pPr>
            <w:r>
              <w:rPr>
                <w:rFonts w:ascii="Arial" w:hAnsi="Arial"/>
                <w:b/>
                <w:color w:val="FFFFFF"/>
                <w:sz w:val="18"/>
              </w:rPr>
              <w:t>Superficie (ha)</w:t>
            </w:r>
          </w:p>
        </w:tc>
        <w:tc>
          <w:tcPr>
            <w:tcW w:type="dxa" w:w="2160"/>
            <w:vAlign w:val="center"/>
            <w:shd w:val="clear" w:color="auto" w:fill="1F3864"/>
            <w:tcMar>
              <w:top w:w="80" w:type="dxa"/>
              <w:bottom w:w="80" w:type="dxa"/>
              <w:left w:w="120" w:type="dxa"/>
              <w:right w:w="120" w:type="dxa"/>
            </w:tcMar>
            <w:tcW w:w="4176" w:type="dxa"/>
          </w:tcPr>
          <w:p>
            <w:pPr>
              <w:jc w:val="center"/>
            </w:pPr>
            <w:r>
              <w:rPr>
                <w:rFonts w:ascii="Arial" w:hAnsi="Arial"/>
                <w:b/>
                <w:color w:val="FFFFFF"/>
                <w:sz w:val="18"/>
              </w:rPr>
              <w:t>Mercado Potencial Anual</w:t>
            </w:r>
          </w:p>
        </w:tc>
      </w:tr>
      <w:tr>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TAM — Total</w:t>
            </w:r>
          </w:p>
        </w:tc>
        <w:tc>
          <w:tcPr>
            <w:tcW w:type="dxa" w:w="2160"/>
            <w:vAlign w:val="center"/>
            <w:shd w:val="clear" w:color="auto" w:fill="F2F2F2"/>
            <w:tcMar>
              <w:top w:w="80" w:type="dxa"/>
              <w:bottom w:w="80" w:type="dxa"/>
              <w:left w:w="120" w:type="dxa"/>
              <w:right w:w="120" w:type="dxa"/>
            </w:tcMar>
            <w:tcW w:w="3600" w:type="dxa"/>
          </w:tcPr>
          <w:p>
            <w:pPr>
              <w:jc w:val="left"/>
            </w:pPr>
            <w:r>
              <w:rPr>
                <w:rFonts w:ascii="Arial" w:hAnsi="Arial"/>
                <w:b w:val="0"/>
                <w:sz w:val="18"/>
              </w:rPr>
              <w:t>Toda la agricultura de riego en México (86 distritos)</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6,800,000 ha</w:t>
            </w:r>
          </w:p>
        </w:tc>
        <w:tc>
          <w:tcPr>
            <w:tcW w:type="dxa" w:w="2160"/>
            <w:vAlign w:val="center"/>
            <w:shd w:val="clear" w:color="auto" w:fill="F2F2F2"/>
            <w:tcMar>
              <w:top w:w="80" w:type="dxa"/>
              <w:bottom w:w="80" w:type="dxa"/>
              <w:left w:w="120" w:type="dxa"/>
              <w:right w:w="120" w:type="dxa"/>
            </w:tcMar>
            <w:tcW w:w="4176" w:type="dxa"/>
          </w:tcPr>
          <w:p>
            <w:pPr>
              <w:jc w:val="left"/>
            </w:pPr>
            <w:r>
              <w:rPr>
                <w:rFonts w:ascii="Arial" w:hAnsi="Arial"/>
                <w:b w:val="0"/>
                <w:sz w:val="18"/>
              </w:rPr>
              <w:t>$4,080 M MXN (a $600/ha/año)</w:t>
            </w:r>
          </w:p>
        </w:tc>
      </w:tr>
      <w:tr>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SAM — Accesible</w:t>
            </w:r>
          </w:p>
        </w:tc>
        <w:tc>
          <w:tcPr>
            <w:tcW w:type="dxa" w:w="2160"/>
            <w:vAlign w:val="center"/>
            <w:shd w:val="clear" w:color="auto" w:fill="FFFFFF"/>
            <w:tcMar>
              <w:top w:w="80" w:type="dxa"/>
              <w:bottom w:w="80" w:type="dxa"/>
              <w:left w:w="120" w:type="dxa"/>
              <w:right w:w="120" w:type="dxa"/>
            </w:tcMar>
            <w:tcW w:w="3600" w:type="dxa"/>
          </w:tcPr>
          <w:p>
            <w:pPr>
              <w:jc w:val="left"/>
            </w:pPr>
            <w:r>
              <w:rPr>
                <w:rFonts w:ascii="Arial" w:hAnsi="Arial"/>
                <w:b w:val="0"/>
                <w:sz w:val="18"/>
              </w:rPr>
              <w:t>Distritos de riego Noroeste (Sonora, Sinaloa, BCS)</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900,000 ha</w:t>
            </w:r>
          </w:p>
        </w:tc>
        <w:tc>
          <w:tcPr>
            <w:tcW w:type="dxa" w:w="2160"/>
            <w:vAlign w:val="center"/>
            <w:shd w:val="clear" w:color="auto" w:fill="FFFFFF"/>
            <w:tcMar>
              <w:top w:w="80" w:type="dxa"/>
              <w:bottom w:w="80" w:type="dxa"/>
              <w:left w:w="120" w:type="dxa"/>
              <w:right w:w="120" w:type="dxa"/>
            </w:tcMar>
            <w:tcW w:w="4176" w:type="dxa"/>
          </w:tcPr>
          <w:p>
            <w:pPr>
              <w:jc w:val="left"/>
            </w:pPr>
            <w:r>
              <w:rPr>
                <w:rFonts w:ascii="Arial" w:hAnsi="Arial"/>
                <w:b w:val="0"/>
                <w:sz w:val="18"/>
              </w:rPr>
              <w:t>$540 M MXN</w:t>
            </w:r>
          </w:p>
        </w:tc>
      </w:tr>
      <w:tr>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SOM — Objetivo 3 años</w:t>
            </w:r>
          </w:p>
        </w:tc>
        <w:tc>
          <w:tcPr>
            <w:tcW w:type="dxa" w:w="2160"/>
            <w:vAlign w:val="center"/>
            <w:shd w:val="clear" w:color="auto" w:fill="F2F2F2"/>
            <w:tcMar>
              <w:top w:w="80" w:type="dxa"/>
              <w:bottom w:w="80" w:type="dxa"/>
              <w:left w:w="120" w:type="dxa"/>
              <w:right w:w="120" w:type="dxa"/>
            </w:tcMar>
            <w:tcW w:w="3600" w:type="dxa"/>
          </w:tcPr>
          <w:p>
            <w:pPr>
              <w:jc w:val="left"/>
            </w:pPr>
            <w:r>
              <w:rPr>
                <w:rFonts w:ascii="Arial" w:hAnsi="Arial"/>
                <w:b w:val="0"/>
                <w:sz w:val="18"/>
              </w:rPr>
              <w:t>DR-041 + DR-075 Fuerte + DR-076 Yaqui</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60,000 ha</w:t>
            </w:r>
          </w:p>
        </w:tc>
        <w:tc>
          <w:tcPr>
            <w:tcW w:type="dxa" w:w="2160"/>
            <w:vAlign w:val="center"/>
            <w:shd w:val="clear" w:color="auto" w:fill="F2F2F2"/>
            <w:tcMar>
              <w:top w:w="80" w:type="dxa"/>
              <w:bottom w:w="80" w:type="dxa"/>
              <w:left w:w="120" w:type="dxa"/>
              <w:right w:w="120" w:type="dxa"/>
            </w:tcMar>
            <w:tcW w:w="4176" w:type="dxa"/>
          </w:tcPr>
          <w:p>
            <w:pPr>
              <w:jc w:val="left"/>
            </w:pPr>
            <w:r>
              <w:rPr>
                <w:rFonts w:ascii="Arial" w:hAnsi="Arial"/>
                <w:b w:val="0"/>
                <w:sz w:val="18"/>
              </w:rPr>
              <w:t>$36 M MXN (teórico)</w:t>
            </w:r>
          </w:p>
        </w:tc>
      </w:tr>
      <w:tr>
        <w:tc>
          <w:tcPr>
            <w:tcW w:type="dxa" w:w="2160"/>
            <w:vAlign w:val="center"/>
            <w:shd w:val="clear" w:color="auto" w:fill="FFF2CC"/>
            <w:tcMar>
              <w:top w:w="80" w:type="dxa"/>
              <w:bottom w:w="80" w:type="dxa"/>
              <w:left w:w="120" w:type="dxa"/>
              <w:right w:w="120" w:type="dxa"/>
            </w:tcMar>
            <w:tcW w:w="2160" w:type="dxa"/>
          </w:tcPr>
          <w:p>
            <w:pPr>
              <w:jc w:val="left"/>
            </w:pPr>
            <w:r>
              <w:rPr>
                <w:rFonts w:ascii="Arial" w:hAnsi="Arial"/>
                <w:b/>
                <w:sz w:val="18"/>
              </w:rPr>
              <w:t>SOM realista Año 3</w:t>
            </w:r>
          </w:p>
        </w:tc>
        <w:tc>
          <w:tcPr>
            <w:tcW w:type="dxa" w:w="2160"/>
            <w:vAlign w:val="center"/>
            <w:shd w:val="clear" w:color="auto" w:fill="FFF2CC"/>
            <w:tcMar>
              <w:top w:w="80" w:type="dxa"/>
              <w:bottom w:w="80" w:type="dxa"/>
              <w:left w:w="120" w:type="dxa"/>
              <w:right w:w="120" w:type="dxa"/>
            </w:tcMar>
            <w:tcW w:w="3600" w:type="dxa"/>
          </w:tcPr>
          <w:p>
            <w:pPr>
              <w:jc w:val="left"/>
            </w:pPr>
            <w:r>
              <w:rPr>
                <w:rFonts w:ascii="Arial" w:hAnsi="Arial"/>
                <w:b w:val="0"/>
                <w:sz w:val="18"/>
              </w:rPr>
              <w:t>DR-041 Módulo 3 probado + expansión parcial</w:t>
            </w:r>
          </w:p>
        </w:tc>
        <w:tc>
          <w:tcPr>
            <w:tcW w:type="dxa" w:w="2160"/>
            <w:vAlign w:val="center"/>
            <w:shd w:val="clear" w:color="auto" w:fill="FFF2CC"/>
            <w:tcMar>
              <w:top w:w="80" w:type="dxa"/>
              <w:bottom w:w="80" w:type="dxa"/>
              <w:left w:w="120" w:type="dxa"/>
              <w:right w:w="120" w:type="dxa"/>
            </w:tcMar>
            <w:tcW w:w="2160" w:type="dxa"/>
          </w:tcPr>
          <w:p>
            <w:pPr>
              <w:jc w:val="center"/>
            </w:pPr>
            <w:r>
              <w:rPr>
                <w:rFonts w:ascii="Arial" w:hAnsi="Arial"/>
                <w:b w:val="0"/>
                <w:sz w:val="18"/>
              </w:rPr>
              <w:t>1,500–4,000 ha</w:t>
            </w:r>
          </w:p>
        </w:tc>
        <w:tc>
          <w:tcPr>
            <w:tcW w:type="dxa" w:w="2160"/>
            <w:vAlign w:val="center"/>
            <w:shd w:val="clear" w:color="auto" w:fill="FFF2CC"/>
            <w:tcMar>
              <w:top w:w="80" w:type="dxa"/>
              <w:bottom w:w="80" w:type="dxa"/>
              <w:left w:w="120" w:type="dxa"/>
              <w:right w:w="120" w:type="dxa"/>
            </w:tcMar>
            <w:tcW w:w="4176" w:type="dxa"/>
          </w:tcPr>
          <w:p>
            <w:pPr>
              <w:jc w:val="left"/>
            </w:pPr>
            <w:r>
              <w:rPr>
                <w:rFonts w:ascii="Arial" w:hAnsi="Arial"/>
                <w:b w:val="0"/>
                <w:sz w:val="18"/>
              </w:rPr>
              <w:t>$1.8–4.8 M MXN (escenario base–optimista)</w:t>
            </w:r>
          </w:p>
        </w:tc>
      </w:tr>
    </w:tbl>
    <w:p>
      <w:pPr>
        <w:spacing w:before="40" w:after="160"/>
        <w:jc w:val="center"/>
      </w:pPr>
      <w:r>
        <w:rPr>
          <w:rFonts w:ascii="Arial" w:hAnsi="Arial"/>
          <w:i/>
          <w:color w:val="606060"/>
          <w:sz w:val="18"/>
        </w:rPr>
        <w:t>Tabla 4.1: TAM/SAM/SOM con SOM realista añadido. El SOM teórico de $36M requiere expansión a múltiples distritos; el SOM realista a 3 años es un subconjunto del DR-041.</w:t>
      </w:r>
    </w:p>
    <w:p>
      <w:pPr>
        <w:spacing w:after="40"/>
      </w:pPr>
    </w:p>
    <w:p>
      <w:pPr>
        <w:pStyle w:val="Heading2"/>
      </w:pPr>
      <w:r>
        <w:rPr>
          <w:rFonts w:ascii="Arial" w:hAnsi="Arial"/>
          <w:color w:val="2E75B6"/>
          <w:sz w:val="26"/>
        </w:rPr>
        <w:t>4.3 Disposición de Pago</w:t>
      </w:r>
    </w:p>
    <w:p>
      <w:pPr>
        <w:spacing w:after="120"/>
        <w:jc w:val="left"/>
      </w:pPr>
      <w:r>
        <w:rPr>
          <w:rFonts w:ascii="Arial" w:hAnsi="Arial"/>
          <w:b w:val="0"/>
          <w:i w:val="0"/>
          <w:sz w:val="22"/>
        </w:rPr>
        <w:t>Para el modelo SaaS, la disposición de pago se estima comparando el costo del software contra el ahorro generado. Una suscripción de $1,200 MXN/ha/año representa entre el 25% y el 59% del ahorro potencial (rango $2,016–$4,704 MXN/ha/ciclo × 2 ciclos), dejando al productor un beneficio neto variable. El ratio beneficio/costo es favorable en el escenario de ahorro medio (20%) y muy atractivo en el escenario alto (28%).</w:t>
      </w:r>
    </w:p>
    <w:p>
      <w:pPr>
        <w:spacing w:after="120"/>
        <w:jc w:val="left"/>
      </w:pPr>
      <w:r>
        <w:rPr>
          <w:rFonts w:ascii="Arial" w:hAnsi="Arial"/>
          <w:b w:val="0"/>
          <w:i w:val="0"/>
          <w:sz w:val="22"/>
        </w:rPr>
        <w:t>Escenario productor mediano (50 ha, ahorro del 20%): suscripción anual = $60,000 MXN / ahorro anual estimado = $268,800 MXN. Beneficio neto: ~$208,800 MXN/año. Si el ahorro real es solo del 12%, el ahorro es $161,280 MXN, beneficio neto $101,280 MXN — aún positivo, pero el ratio cae de 4.5x a 2.7x.</w:t>
      </w:r>
    </w:p>
    <w:p>
      <w:pPr>
        <w:spacing w:after="40"/>
      </w:pPr>
    </w:p>
    <w:p>
      <w:pPr>
        <w:pStyle w:val="Heading2"/>
      </w:pPr>
      <w:r>
        <w:rPr>
          <w:rFonts w:ascii="Arial" w:hAnsi="Arial"/>
          <w:color w:val="2E75B6"/>
          <w:sz w:val="26"/>
        </w:rPr>
        <w:t>4.4 Validación del Mercado</w:t>
      </w:r>
    </w:p>
    <w:p>
      <w:pPr>
        <w:spacing w:after="120"/>
        <w:jc w:val="left"/>
      </w:pPr>
      <w:r>
        <w:rPr>
          <w:rFonts w:ascii="Arial" w:hAnsi="Arial"/>
          <w:b w:val="0"/>
          <w:i w:val="0"/>
          <w:sz w:val="22"/>
        </w:rPr>
        <w:t>El prototipo funcional (pre-MVP) ha sido diseñado sobre datos reales del DR-041 Módulo 3. La validación de la promesa de valor requiere un piloto de campo con 5–10 productores durante un ciclo agrícola completo (octubre–abril), midiendo el diferencial de consumo hídrico contra el control (vecinos sin sistema).</w:t>
      </w:r>
    </w:p>
    <w:p>
      <w:pPr>
        <w:spacing w:before="80" w:after="160"/>
        <w:ind w:left="216"/>
        <w:shd w:val="clear" w:color="auto" w:fill="FFDCE1"/>
        <w:pBdr>
          <w:left w:val="single" w:sz="18" w:space="4" w:color="C0392B"/>
        </w:pBdr>
      </w:pPr>
      <w:r>
        <w:rPr>
          <w:rFonts w:ascii="Arial" w:hAnsi="Arial"/>
          <w:i/>
          <w:color w:val="333333"/>
          <w:sz w:val="20"/>
        </w:rPr>
        <w:t>Supuesto no validado: la hipótesis es que el sistema reduce en al menos 15% el consumo en ciclo piloto. Sin datos reales de campo, este número es un objetivo, no una proyección. Hasta no completar el piloto, todos los cálculos financieros de ahorro son teóricos.</w:t>
      </w:r>
    </w:p>
    <w:p>
      <w:r>
        <w:br w:type="page"/>
      </w:r>
    </w:p>
    <w:p>
      <w:pPr>
        <w:pStyle w:val="Heading1"/>
      </w:pPr>
      <w:r>
        <w:rPr>
          <w:rFonts w:ascii="Arial" w:hAnsi="Arial"/>
          <w:color w:val="1F3864"/>
          <w:sz w:val="32"/>
        </w:rPr>
        <w:t>V. Estudio Técnico</w:t>
      </w:r>
    </w:p>
    <w:p>
      <w:pPr>
        <w:pStyle w:val="Heading2"/>
      </w:pPr>
      <w:r>
        <w:rPr>
          <w:rFonts w:ascii="Arial" w:hAnsi="Arial"/>
          <w:color w:val="2E75B6"/>
          <w:sz w:val="26"/>
        </w:rPr>
        <w:t>5.1 Arquitectura de la Solución</w:t>
      </w:r>
    </w:p>
    <w:p>
      <w:pPr>
        <w:spacing w:after="120"/>
        <w:jc w:val="left"/>
      </w:pPr>
      <w:r>
        <w:rPr>
          <w:rFonts w:ascii="Arial" w:hAnsi="Arial"/>
          <w:b w:val="0"/>
          <w:i w:val="0"/>
          <w:sz w:val="22"/>
        </w:rPr>
        <w:t>MILPÍN AgTech opera como una arquitectura cliente-servidor de tres capas. La capa de datos combina PostgreSQL 15 + PostGIS 3.6 para datos relacionales y geoespaciales, con ingesta diaria automatizada desde la API NASA POWER (MERRA-2). La capa de negocio es un backend Python FastAPI 0.115 con SQLAlchemy 2.0 async, que expone 14+ endpoints REST y ejecuta el motor agronómico FAO-56 Penman-Monteith. La capa de presentación es una SPA en HTML5 + Vanilla JS con Leaflet 1.9.4, enriquecida con un pipeline de voz (Whisper STT → Ollama LLM → Web Speech TTS).</w:t>
      </w:r>
    </w:p>
    <w:p>
      <w:pPr>
        <w:spacing w:after="40"/>
      </w:pPr>
    </w:p>
    <w:p>
      <w:pPr>
        <w:pStyle w:val="Heading2"/>
      </w:pPr>
      <w:r>
        <w:rPr>
          <w:rFonts w:ascii="Arial" w:hAnsi="Arial"/>
          <w:color w:val="2E75B6"/>
          <w:sz w:val="26"/>
        </w:rPr>
        <w:t>5.2 Márgenes de Error Técnicos (nuevo)</w:t>
      </w:r>
    </w:p>
    <w:p>
      <w:pPr>
        <w:spacing w:before="80" w:after="160"/>
        <w:ind w:left="216"/>
        <w:shd w:val="clear" w:color="auto" w:fill="FFDCE1"/>
        <w:pBdr>
          <w:left w:val="single" w:sz="18" w:space="4" w:color="C0392B"/>
        </w:pBdr>
      </w:pPr>
      <w:r>
        <w:rPr>
          <w:rFonts w:ascii="Arial" w:hAnsi="Arial"/>
          <w:i/>
          <w:color w:val="333333"/>
          <w:sz w:val="20"/>
        </w:rPr>
        <w:t>La versión anterior presentaba el KPI de ahorro del 25% como cifra puntual sin incertidumbre. Esto es metodológicamente incorrecto. A continuación se documentan los principales márgenes de error de cada componente del sistema.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3864"/>
            <w:tcMar>
              <w:top w:w="80" w:type="dxa"/>
              <w:bottom w:w="80" w:type="dxa"/>
              <w:left w:w="120" w:type="dxa"/>
              <w:right w:w="120" w:type="dxa"/>
            </w:tcMar>
            <w:tcW w:w="2160" w:type="dxa"/>
          </w:tcPr>
          <w:p>
            <w:pPr>
              <w:jc w:val="center"/>
            </w:pPr>
            <w:r>
              <w:rPr>
                <w:rFonts w:ascii="Arial" w:hAnsi="Arial"/>
                <w:b/>
                <w:color w:val="FFFFFF"/>
                <w:sz w:val="18"/>
              </w:rPr>
              <w:t>Componente</w:t>
            </w:r>
          </w:p>
        </w:tc>
        <w:tc>
          <w:tcPr>
            <w:tcW w:type="dxa" w:w="2160"/>
            <w:vAlign w:val="center"/>
            <w:shd w:val="clear" w:color="auto" w:fill="1F3864"/>
            <w:tcMar>
              <w:top w:w="80" w:type="dxa"/>
              <w:bottom w:w="80" w:type="dxa"/>
              <w:left w:w="120" w:type="dxa"/>
              <w:right w:w="120" w:type="dxa"/>
            </w:tcMar>
            <w:tcW w:w="3168" w:type="dxa"/>
          </w:tcPr>
          <w:p>
            <w:pPr>
              <w:jc w:val="center"/>
            </w:pPr>
            <w:r>
              <w:rPr>
                <w:rFonts w:ascii="Arial" w:hAnsi="Arial"/>
                <w:b/>
                <w:color w:val="FFFFFF"/>
                <w:sz w:val="18"/>
              </w:rPr>
              <w:t>Fuente de incertidumbre</w:t>
            </w:r>
          </w:p>
        </w:tc>
        <w:tc>
          <w:tcPr>
            <w:tcW w:type="dxa" w:w="2160"/>
            <w:vAlign w:val="center"/>
            <w:shd w:val="clear" w:color="auto" w:fill="1F3864"/>
            <w:tcMar>
              <w:top w:w="80" w:type="dxa"/>
              <w:bottom w:w="80" w:type="dxa"/>
              <w:left w:w="120" w:type="dxa"/>
              <w:right w:w="120" w:type="dxa"/>
            </w:tcMar>
            <w:tcW w:w="2592" w:type="dxa"/>
          </w:tcPr>
          <w:p>
            <w:pPr>
              <w:jc w:val="center"/>
            </w:pPr>
            <w:r>
              <w:rPr>
                <w:rFonts w:ascii="Arial" w:hAnsi="Arial"/>
                <w:b/>
                <w:color w:val="FFFFFF"/>
                <w:sz w:val="18"/>
              </w:rPr>
              <w:t>Magnitud del error</w:t>
            </w:r>
          </w:p>
        </w:tc>
        <w:tc>
          <w:tcPr>
            <w:tcW w:type="dxa" w:w="2160"/>
            <w:vAlign w:val="center"/>
            <w:shd w:val="clear" w:color="auto" w:fill="1F3864"/>
            <w:tcMar>
              <w:top w:w="80" w:type="dxa"/>
              <w:bottom w:w="80" w:type="dxa"/>
              <w:left w:w="120" w:type="dxa"/>
              <w:right w:w="120" w:type="dxa"/>
            </w:tcMar>
            <w:tcW w:w="4176" w:type="dxa"/>
          </w:tcPr>
          <w:p>
            <w:pPr>
              <w:jc w:val="center"/>
            </w:pPr>
            <w:r>
              <w:rPr>
                <w:rFonts w:ascii="Arial" w:hAnsi="Arial"/>
                <w:b/>
                <w:color w:val="FFFFFF"/>
                <w:sz w:val="18"/>
              </w:rPr>
              <w:t>Mitigación</w:t>
            </w:r>
          </w:p>
        </w:tc>
      </w:tr>
      <w:tr>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NASA POWER (ETo)</w:t>
            </w:r>
          </w:p>
        </w:tc>
        <w:tc>
          <w:tcPr>
            <w:tcW w:type="dxa" w:w="2160"/>
            <w:vAlign w:val="center"/>
            <w:shd w:val="clear" w:color="auto" w:fill="F2F2F2"/>
            <w:tcMar>
              <w:top w:w="80" w:type="dxa"/>
              <w:bottom w:w="80" w:type="dxa"/>
              <w:left w:w="120" w:type="dxa"/>
              <w:right w:w="120" w:type="dxa"/>
            </w:tcMar>
            <w:tcW w:w="3168" w:type="dxa"/>
          </w:tcPr>
          <w:p>
            <w:pPr>
              <w:jc w:val="left"/>
            </w:pPr>
            <w:r>
              <w:rPr>
                <w:rFonts w:ascii="Arial" w:hAnsi="Arial"/>
                <w:b w:val="0"/>
                <w:sz w:val="18"/>
              </w:rPr>
              <w:t>Datos satelitales vs. estación meteorológica local</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±8–12% en ETo (Mu et al., 2021)</w:t>
            </w:r>
          </w:p>
        </w:tc>
        <w:tc>
          <w:tcPr>
            <w:tcW w:type="dxa" w:w="2160"/>
            <w:vAlign w:val="center"/>
            <w:shd w:val="clear" w:color="auto" w:fill="F2F2F2"/>
            <w:tcMar>
              <w:top w:w="80" w:type="dxa"/>
              <w:bottom w:w="80" w:type="dxa"/>
              <w:left w:w="120" w:type="dxa"/>
              <w:right w:w="120" w:type="dxa"/>
            </w:tcMar>
            <w:tcW w:w="4176" w:type="dxa"/>
          </w:tcPr>
          <w:p>
            <w:pPr>
              <w:jc w:val="left"/>
            </w:pPr>
            <w:r>
              <w:rPr>
                <w:rFonts w:ascii="Arial" w:hAnsi="Arial"/>
                <w:b w:val="0"/>
                <w:sz w:val="18"/>
              </w:rPr>
              <w:t>Instalar estación micro-met en Módulo 3 en Año 2 (costo ~$30,000 MXN)</w:t>
            </w:r>
          </w:p>
        </w:tc>
      </w:tr>
      <w:tr>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Coeficientes Kc FAO-56</w:t>
            </w:r>
          </w:p>
        </w:tc>
        <w:tc>
          <w:tcPr>
            <w:tcW w:type="dxa" w:w="2160"/>
            <w:vAlign w:val="center"/>
            <w:shd w:val="clear" w:color="auto" w:fill="FFFFFF"/>
            <w:tcMar>
              <w:top w:w="80" w:type="dxa"/>
              <w:bottom w:w="80" w:type="dxa"/>
              <w:left w:w="120" w:type="dxa"/>
              <w:right w:w="120" w:type="dxa"/>
            </w:tcMar>
            <w:tcW w:w="3168" w:type="dxa"/>
          </w:tcPr>
          <w:p>
            <w:pPr>
              <w:jc w:val="left"/>
            </w:pPr>
            <w:r>
              <w:rPr>
                <w:rFonts w:ascii="Arial" w:hAnsi="Arial"/>
                <w:b w:val="0"/>
                <w:sz w:val="18"/>
              </w:rPr>
              <w:t>Valores típicos vs. condiciones Yaqui</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±15% (CIMMYT, 2021)</w:t>
            </w:r>
          </w:p>
        </w:tc>
        <w:tc>
          <w:tcPr>
            <w:tcW w:type="dxa" w:w="2160"/>
            <w:vAlign w:val="center"/>
            <w:shd w:val="clear" w:color="auto" w:fill="FFFFFF"/>
            <w:tcMar>
              <w:top w:w="80" w:type="dxa"/>
              <w:bottom w:w="80" w:type="dxa"/>
              <w:left w:w="120" w:type="dxa"/>
              <w:right w:w="120" w:type="dxa"/>
            </w:tcMar>
            <w:tcW w:w="4176" w:type="dxa"/>
          </w:tcPr>
          <w:p>
            <w:pPr>
              <w:jc w:val="left"/>
            </w:pPr>
            <w:r>
              <w:rPr>
                <w:rFonts w:ascii="Arial" w:hAnsi="Arial"/>
                <w:b w:val="0"/>
                <w:sz w:val="18"/>
              </w:rPr>
              <w:t>Calibración local durante ciclo piloto con CIMMYT</w:t>
            </w:r>
          </w:p>
        </w:tc>
      </w:tr>
      <w:tr>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Ridge Regression (forecast ETo)</w:t>
            </w:r>
          </w:p>
        </w:tc>
        <w:tc>
          <w:tcPr>
            <w:tcW w:type="dxa" w:w="2160"/>
            <w:vAlign w:val="center"/>
            <w:shd w:val="clear" w:color="auto" w:fill="F2F2F2"/>
            <w:tcMar>
              <w:top w:w="80" w:type="dxa"/>
              <w:bottom w:w="80" w:type="dxa"/>
              <w:left w:w="120" w:type="dxa"/>
              <w:right w:w="120" w:type="dxa"/>
            </w:tcMar>
            <w:tcW w:w="3168" w:type="dxa"/>
          </w:tcPr>
          <w:p>
            <w:pPr>
              <w:jc w:val="left"/>
            </w:pPr>
            <w:r>
              <w:rPr>
                <w:rFonts w:ascii="Arial" w:hAnsi="Arial"/>
                <w:b w:val="0"/>
                <w:sz w:val="18"/>
              </w:rPr>
              <w:t>Extrapolación 7 días con datos históricos limitados</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RMSE estimado: ±0.8–1.2 mm/d</w:t>
            </w:r>
          </w:p>
        </w:tc>
        <w:tc>
          <w:tcPr>
            <w:tcW w:type="dxa" w:w="2160"/>
            <w:vAlign w:val="center"/>
            <w:shd w:val="clear" w:color="auto" w:fill="F2F2F2"/>
            <w:tcMar>
              <w:top w:w="80" w:type="dxa"/>
              <w:bottom w:w="80" w:type="dxa"/>
              <w:left w:w="120" w:type="dxa"/>
              <w:right w:w="120" w:type="dxa"/>
            </w:tcMar>
            <w:tcW w:w="4176" w:type="dxa"/>
          </w:tcPr>
          <w:p>
            <w:pPr>
              <w:jc w:val="left"/>
            </w:pPr>
            <w:r>
              <w:rPr>
                <w:rFonts w:ascii="Arial" w:hAnsi="Arial"/>
                <w:b w:val="0"/>
                <w:sz w:val="18"/>
              </w:rPr>
              <w:t>Mínimo 60 registros por parcela; fallback a media 14d</w:t>
            </w:r>
          </w:p>
        </w:tc>
      </w:tr>
      <w:tr>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Balance hídrico acumulado</w:t>
            </w:r>
          </w:p>
        </w:tc>
        <w:tc>
          <w:tcPr>
            <w:tcW w:type="dxa" w:w="2160"/>
            <w:vAlign w:val="center"/>
            <w:shd w:val="clear" w:color="auto" w:fill="FFFFFF"/>
            <w:tcMar>
              <w:top w:w="80" w:type="dxa"/>
              <w:bottom w:w="80" w:type="dxa"/>
              <w:left w:w="120" w:type="dxa"/>
              <w:right w:w="120" w:type="dxa"/>
            </w:tcMar>
            <w:tcW w:w="3168" w:type="dxa"/>
          </w:tcPr>
          <w:p>
            <w:pPr>
              <w:jc w:val="left"/>
            </w:pPr>
            <w:r>
              <w:rPr>
                <w:rFonts w:ascii="Arial" w:hAnsi="Arial"/>
                <w:b w:val="0"/>
                <w:sz w:val="18"/>
              </w:rPr>
              <w:t>Propagar balance desde último riego real registrado</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±20% si hay riegos no registrados</w:t>
            </w:r>
          </w:p>
        </w:tc>
        <w:tc>
          <w:tcPr>
            <w:tcW w:type="dxa" w:w="2160"/>
            <w:vAlign w:val="center"/>
            <w:shd w:val="clear" w:color="auto" w:fill="FFFFFF"/>
            <w:tcMar>
              <w:top w:w="80" w:type="dxa"/>
              <w:bottom w:w="80" w:type="dxa"/>
              <w:left w:w="120" w:type="dxa"/>
              <w:right w:w="120" w:type="dxa"/>
            </w:tcMar>
            <w:tcW w:w="4176" w:type="dxa"/>
          </w:tcPr>
          <w:p>
            <w:pPr>
              <w:jc w:val="left"/>
            </w:pPr>
            <w:r>
              <w:rPr>
                <w:rFonts w:ascii="Arial" w:hAnsi="Arial"/>
                <w:b w:val="0"/>
                <w:sz w:val="18"/>
              </w:rPr>
              <w:t>Acuerdo con módulo para volumetría automática</w:t>
            </w:r>
          </w:p>
        </w:tc>
      </w:tr>
      <w:tr>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Ahorro hídrico resultante</w:t>
            </w:r>
          </w:p>
        </w:tc>
        <w:tc>
          <w:tcPr>
            <w:tcW w:type="dxa" w:w="2160"/>
            <w:vAlign w:val="center"/>
            <w:shd w:val="clear" w:color="auto" w:fill="F2F2F2"/>
            <w:tcMar>
              <w:top w:w="80" w:type="dxa"/>
              <w:bottom w:w="80" w:type="dxa"/>
              <w:left w:w="120" w:type="dxa"/>
              <w:right w:w="120" w:type="dxa"/>
            </w:tcMar>
            <w:tcW w:w="3168" w:type="dxa"/>
          </w:tcPr>
          <w:p>
            <w:pPr>
              <w:jc w:val="left"/>
            </w:pPr>
            <w:r>
              <w:rPr>
                <w:rFonts w:ascii="Arial" w:hAnsi="Arial"/>
                <w:b w:val="0"/>
                <w:sz w:val="18"/>
              </w:rPr>
              <w:t>Combinación de todos los errores anteriores</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Rango 12–28%, no puntual 25%</w:t>
            </w:r>
          </w:p>
        </w:tc>
        <w:tc>
          <w:tcPr>
            <w:tcW w:type="dxa" w:w="2160"/>
            <w:vAlign w:val="center"/>
            <w:shd w:val="clear" w:color="auto" w:fill="F2F2F2"/>
            <w:tcMar>
              <w:top w:w="80" w:type="dxa"/>
              <w:bottom w:w="80" w:type="dxa"/>
              <w:left w:w="120" w:type="dxa"/>
              <w:right w:w="120" w:type="dxa"/>
            </w:tcMar>
            <w:tcW w:w="4176" w:type="dxa"/>
          </w:tcPr>
          <w:p>
            <w:pPr>
              <w:jc w:val="left"/>
            </w:pPr>
            <w:r>
              <w:rPr>
                <w:rFonts w:ascii="Arial" w:hAnsi="Arial"/>
                <w:b w:val="0"/>
                <w:sz w:val="18"/>
              </w:rPr>
              <w:t>Comunicar rango al productor; medir ahorro real en piloto</w:t>
            </w:r>
          </w:p>
        </w:tc>
      </w:tr>
    </w:tbl>
    <w:p>
      <w:pPr>
        <w:spacing w:before="40" w:after="160"/>
        <w:jc w:val="center"/>
      </w:pPr>
      <w:r>
        <w:rPr>
          <w:rFonts w:ascii="Arial" w:hAnsi="Arial"/>
          <w:i/>
          <w:color w:val="606060"/>
          <w:sz w:val="18"/>
        </w:rPr>
        <w:t>Tabla 5.2: Márgenes de error técnicos por componente. El ahorro prometido de 25% es la media del rango esperado, no una garantía.</w:t>
      </w:r>
    </w:p>
    <w:p>
      <w:pPr>
        <w:spacing w:after="40"/>
      </w:pPr>
    </w:p>
    <w:p>
      <w:pPr>
        <w:pStyle w:val="Heading2"/>
      </w:pPr>
      <w:r>
        <w:rPr>
          <w:rFonts w:ascii="Arial" w:hAnsi="Arial"/>
          <w:color w:val="2E75B6"/>
          <w:sz w:val="26"/>
        </w:rPr>
        <w:t>5.3 Infraestructura Requerida</w:t>
      </w:r>
    </w:p>
    <w:p>
      <w:pPr>
        <w:spacing w:after="120"/>
        <w:jc w:val="left"/>
      </w:pPr>
      <w:r>
        <w:rPr>
          <w:rFonts w:ascii="Arial" w:hAnsi="Arial"/>
          <w:b w:val="0"/>
          <w:i w:val="0"/>
          <w:sz w:val="22"/>
        </w:rPr>
        <w:t>Para el piloto Módulo 3 (hasta 500 ha, 30 usuarios concurrentes), la infraestructura mínima viable es un VPS cloud de 4 vCPU, 16 GB RAM y 200 GB SSD (costo estimado: $12,000 MXN/mes). Para la expansión a 10,000 ha, se requiere escalar a arquitectura de contenedores Docker con base de datos PostgreSQL gestionada y balanceador de carga.</w:t>
      </w:r>
    </w:p>
    <w:p>
      <w:pPr>
        <w:spacing w:before="80" w:after="160"/>
        <w:ind w:left="216"/>
        <w:shd w:val="clear" w:color="auto" w:fill="FFF2CC"/>
        <w:pBdr>
          <w:left w:val="single" w:sz="18" w:space="4" w:color="F0A000"/>
        </w:pBdr>
      </w:pPr>
      <w:r>
        <w:rPr>
          <w:rFonts w:ascii="Arial" w:hAnsi="Arial"/>
          <w:i/>
          <w:color w:val="333333"/>
          <w:sz w:val="20"/>
        </w:rPr>
        <w:t>Riesgo de dependencia NASA POWER: la API no garantiza SLA comercial. En 2022 sufrió un cambio de schema no documentado que rompió integraciones de terceros. El caché local de 30 días es mitigation parcial, pero no cubre cambios de API. Solución recomendada: NOAA Climate Data Online como fuente alternativa + pruebas de ingesta automatizadas con alerta diaria.</w:t>
      </w:r>
    </w:p>
    <w:p>
      <w:pPr>
        <w:spacing w:after="40"/>
      </w:pPr>
    </w:p>
    <w:p>
      <w:pPr>
        <w:pStyle w:val="Heading2"/>
      </w:pPr>
      <w:r>
        <w:rPr>
          <w:rFonts w:ascii="Arial" w:hAnsi="Arial"/>
          <w:color w:val="2E75B6"/>
          <w:sz w:val="26"/>
        </w:rPr>
        <w:t>5.4 Escalabilidad Tecnológica</w:t>
      </w:r>
    </w:p>
    <w:p>
      <w:pPr>
        <w:spacing w:after="120"/>
        <w:jc w:val="left"/>
      </w:pPr>
      <w:r>
        <w:rPr>
          <w:rFonts w:ascii="Arial" w:hAnsi="Arial"/>
          <w:b w:val="0"/>
          <w:i w:val="0"/>
          <w:sz w:val="22"/>
        </w:rPr>
        <w:t>El diseño actual permite escalar horizontalmente el backend (FastAPI es stateless). El cuello de botella principal identificado es el modelo Whisper local, que requiere GPU para latencia &lt;2s. Sin GPU, la latencia en CPU es de 15–30 segundos para audios de 10–15 segundos — inaceptable para un productor en campo bajo 40°C. En producción a escala se requiere API de OpenAI Whisper (costo: $0.006/minuto, ~$6 USD/1,000 solicitudes) o worker GPU compartido.</w:t>
      </w:r>
    </w:p>
    <w:p>
      <w:pPr>
        <w:spacing w:before="80" w:after="160"/>
        <w:ind w:left="216"/>
        <w:shd w:val="clear" w:color="auto" w:fill="FFDCE1"/>
        <w:pBdr>
          <w:left w:val="single" w:sz="18" w:space="4" w:color="C0392B"/>
        </w:pBdr>
      </w:pPr>
      <w:r>
        <w:rPr>
          <w:rFonts w:ascii="Arial" w:hAnsi="Arial"/>
          <w:i/>
          <w:color w:val="333333"/>
          <w:sz w:val="20"/>
        </w:rPr>
        <w:t>La interfaz de voz, presentada como diferenciador clave, tiene una deuda técnica de hardware no resuelta. Sin GPU o API externa, el pipeline de voz es demostrativo, no productivo.</w:t>
      </w:r>
    </w:p>
    <w:p>
      <w:r>
        <w:br w:type="page"/>
      </w:r>
    </w:p>
    <w:p>
      <w:pPr>
        <w:pStyle w:val="Heading1"/>
      </w:pPr>
      <w:r>
        <w:rPr>
          <w:rFonts w:ascii="Arial" w:hAnsi="Arial"/>
          <w:color w:val="1F3864"/>
          <w:sz w:val="32"/>
        </w:rPr>
        <w:t>VI. Estudio Administrativo</w:t>
      </w:r>
    </w:p>
    <w:p>
      <w:pPr>
        <w:pStyle w:val="Heading2"/>
      </w:pPr>
      <w:r>
        <w:rPr>
          <w:rFonts w:ascii="Arial" w:hAnsi="Arial"/>
          <w:color w:val="2E75B6"/>
          <w:sz w:val="26"/>
        </w:rPr>
        <w:t>6.1 Estructura Organizacional Inicial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3864"/>
            <w:tcMar>
              <w:top w:w="80" w:type="dxa"/>
              <w:bottom w:w="80" w:type="dxa"/>
              <w:left w:w="120" w:type="dxa"/>
              <w:right w:w="120" w:type="dxa"/>
            </w:tcMar>
            <w:tcW w:w="2880" w:type="dxa"/>
          </w:tcPr>
          <w:p>
            <w:pPr>
              <w:jc w:val="center"/>
            </w:pPr>
            <w:r>
              <w:rPr>
                <w:rFonts w:ascii="Arial" w:hAnsi="Arial"/>
                <w:b/>
                <w:color w:val="FFFFFF"/>
                <w:sz w:val="18"/>
              </w:rPr>
              <w:t>Rol</w:t>
            </w:r>
          </w:p>
        </w:tc>
        <w:tc>
          <w:tcPr>
            <w:tcW w:type="dxa" w:w="2880"/>
            <w:vAlign w:val="center"/>
            <w:shd w:val="clear" w:color="auto" w:fill="1F3864"/>
            <w:tcMar>
              <w:top w:w="80" w:type="dxa"/>
              <w:bottom w:w="80" w:type="dxa"/>
              <w:left w:w="120" w:type="dxa"/>
              <w:right w:w="120" w:type="dxa"/>
            </w:tcMar>
            <w:tcW w:w="4320" w:type="dxa"/>
          </w:tcPr>
          <w:p>
            <w:pPr>
              <w:jc w:val="center"/>
            </w:pPr>
            <w:r>
              <w:rPr>
                <w:rFonts w:ascii="Arial" w:hAnsi="Arial"/>
                <w:b/>
                <w:color w:val="FFFFFF"/>
                <w:sz w:val="18"/>
              </w:rPr>
              <w:t>Responsabilidades Principales</w:t>
            </w:r>
          </w:p>
        </w:tc>
        <w:tc>
          <w:tcPr>
            <w:tcW w:type="dxa" w:w="2880"/>
            <w:vAlign w:val="center"/>
            <w:shd w:val="clear" w:color="auto" w:fill="1F3864"/>
            <w:tcMar>
              <w:top w:w="80" w:type="dxa"/>
              <w:bottom w:w="80" w:type="dxa"/>
              <w:left w:w="120" w:type="dxa"/>
              <w:right w:w="120" w:type="dxa"/>
            </w:tcMar>
            <w:tcW w:w="3456" w:type="dxa"/>
          </w:tcPr>
          <w:p>
            <w:pPr>
              <w:jc w:val="center"/>
            </w:pPr>
            <w:r>
              <w:rPr>
                <w:rFonts w:ascii="Arial" w:hAnsi="Arial"/>
                <w:b/>
                <w:color w:val="FFFFFF"/>
                <w:sz w:val="18"/>
              </w:rPr>
              <w:t>Perfil Requerido</w:t>
            </w:r>
          </w:p>
        </w:tc>
      </w:tr>
      <w:tr>
        <w:tc>
          <w:tcPr>
            <w:tcW w:type="dxa" w:w="2880"/>
            <w:vAlign w:val="center"/>
            <w:shd w:val="clear" w:color="auto" w:fill="F2F2F2"/>
            <w:tcMar>
              <w:top w:w="80" w:type="dxa"/>
              <w:bottom w:w="80" w:type="dxa"/>
              <w:left w:w="120" w:type="dxa"/>
              <w:right w:w="120" w:type="dxa"/>
            </w:tcMar>
            <w:tcW w:w="2880" w:type="dxa"/>
          </w:tcPr>
          <w:p>
            <w:pPr>
              <w:jc w:val="left"/>
            </w:pPr>
            <w:r>
              <w:rPr>
                <w:rFonts w:ascii="Arial" w:hAnsi="Arial"/>
                <w:b w:val="0"/>
                <w:sz w:val="18"/>
              </w:rPr>
              <w:t>CTO / Ingeniero de Datos</w:t>
            </w:r>
          </w:p>
        </w:tc>
        <w:tc>
          <w:tcPr>
            <w:tcW w:type="dxa" w:w="2880"/>
            <w:vAlign w:val="center"/>
            <w:shd w:val="clear" w:color="auto" w:fill="F2F2F2"/>
            <w:tcMar>
              <w:top w:w="80" w:type="dxa"/>
              <w:bottom w:w="80" w:type="dxa"/>
              <w:left w:w="120" w:type="dxa"/>
              <w:right w:w="120" w:type="dxa"/>
            </w:tcMar>
            <w:tcW w:w="4320" w:type="dxa"/>
          </w:tcPr>
          <w:p>
            <w:pPr>
              <w:jc w:val="left"/>
            </w:pPr>
            <w:r>
              <w:rPr>
                <w:rFonts w:ascii="Arial" w:hAnsi="Arial"/>
                <w:b w:val="0"/>
                <w:sz w:val="18"/>
              </w:rPr>
              <w:t>Backend FastAPI, modelos ML, integración NASA POWER, tests</w:t>
            </w:r>
          </w:p>
        </w:tc>
        <w:tc>
          <w:tcPr>
            <w:tcW w:type="dxa" w:w="2880"/>
            <w:vAlign w:val="center"/>
            <w:shd w:val="clear" w:color="auto" w:fill="F2F2F2"/>
            <w:tcMar>
              <w:top w:w="80" w:type="dxa"/>
              <w:bottom w:w="80" w:type="dxa"/>
              <w:left w:w="120" w:type="dxa"/>
              <w:right w:w="120" w:type="dxa"/>
            </w:tcMar>
            <w:tcW w:w="3456" w:type="dxa"/>
          </w:tcPr>
          <w:p>
            <w:pPr>
              <w:jc w:val="left"/>
            </w:pPr>
            <w:r>
              <w:rPr>
                <w:rFonts w:ascii="Arial" w:hAnsi="Arial"/>
                <w:b w:val="0"/>
                <w:sz w:val="18"/>
              </w:rPr>
              <w:t>Python, SQLAlchemy, scikit-learn, FastAPI</w:t>
            </w:r>
          </w:p>
        </w:tc>
      </w:tr>
      <w:tr>
        <w:tc>
          <w:tcPr>
            <w:tcW w:type="dxa" w:w="2880"/>
            <w:vAlign w:val="center"/>
            <w:shd w:val="clear" w:color="auto" w:fill="FFFFFF"/>
            <w:tcMar>
              <w:top w:w="80" w:type="dxa"/>
              <w:bottom w:w="80" w:type="dxa"/>
              <w:left w:w="120" w:type="dxa"/>
              <w:right w:w="120" w:type="dxa"/>
            </w:tcMar>
            <w:tcW w:w="2880" w:type="dxa"/>
          </w:tcPr>
          <w:p>
            <w:pPr>
              <w:jc w:val="left"/>
            </w:pPr>
            <w:r>
              <w:rPr>
                <w:rFonts w:ascii="Arial" w:hAnsi="Arial"/>
                <w:b w:val="0"/>
                <w:sz w:val="18"/>
              </w:rPr>
              <w:t>Agrónomo Investigador</w:t>
            </w:r>
          </w:p>
        </w:tc>
        <w:tc>
          <w:tcPr>
            <w:tcW w:type="dxa" w:w="2880"/>
            <w:vAlign w:val="center"/>
            <w:shd w:val="clear" w:color="auto" w:fill="FFFFFF"/>
            <w:tcMar>
              <w:top w:w="80" w:type="dxa"/>
              <w:bottom w:w="80" w:type="dxa"/>
              <w:left w:w="120" w:type="dxa"/>
              <w:right w:w="120" w:type="dxa"/>
            </w:tcMar>
            <w:tcW w:w="4320" w:type="dxa"/>
          </w:tcPr>
          <w:p>
            <w:pPr>
              <w:jc w:val="left"/>
            </w:pPr>
            <w:r>
              <w:rPr>
                <w:rFonts w:ascii="Arial" w:hAnsi="Arial"/>
                <w:b w:val="0"/>
                <w:sz w:val="18"/>
              </w:rPr>
              <w:t>Validación FAO-56, calibración Kc, protocolo piloto campo</w:t>
            </w:r>
          </w:p>
        </w:tc>
        <w:tc>
          <w:tcPr>
            <w:tcW w:type="dxa" w:w="2880"/>
            <w:vAlign w:val="center"/>
            <w:shd w:val="clear" w:color="auto" w:fill="FFFFFF"/>
            <w:tcMar>
              <w:top w:w="80" w:type="dxa"/>
              <w:bottom w:w="80" w:type="dxa"/>
              <w:left w:w="120" w:type="dxa"/>
              <w:right w:w="120" w:type="dxa"/>
            </w:tcMar>
            <w:tcW w:w="3456" w:type="dxa"/>
          </w:tcPr>
          <w:p>
            <w:pPr>
              <w:jc w:val="left"/>
            </w:pPr>
            <w:r>
              <w:rPr>
                <w:rFonts w:ascii="Arial" w:hAnsi="Arial"/>
                <w:b w:val="0"/>
                <w:sz w:val="18"/>
              </w:rPr>
              <w:t>Agr. con máster, experiencia DR-041</w:t>
            </w:r>
          </w:p>
        </w:tc>
      </w:tr>
      <w:tr>
        <w:tc>
          <w:tcPr>
            <w:tcW w:type="dxa" w:w="2880"/>
            <w:vAlign w:val="center"/>
            <w:shd w:val="clear" w:color="auto" w:fill="F2F2F2"/>
            <w:tcMar>
              <w:top w:w="80" w:type="dxa"/>
              <w:bottom w:w="80" w:type="dxa"/>
              <w:left w:w="120" w:type="dxa"/>
              <w:right w:w="120" w:type="dxa"/>
            </w:tcMar>
            <w:tcW w:w="2880" w:type="dxa"/>
          </w:tcPr>
          <w:p>
            <w:pPr>
              <w:jc w:val="left"/>
            </w:pPr>
            <w:r>
              <w:rPr>
                <w:rFonts w:ascii="Arial" w:hAnsi="Arial"/>
                <w:b w:val="0"/>
                <w:sz w:val="18"/>
              </w:rPr>
              <w:t>Gerente Comercial / CEO</w:t>
            </w:r>
          </w:p>
        </w:tc>
        <w:tc>
          <w:tcPr>
            <w:tcW w:type="dxa" w:w="2880"/>
            <w:vAlign w:val="center"/>
            <w:shd w:val="clear" w:color="auto" w:fill="F2F2F2"/>
            <w:tcMar>
              <w:top w:w="80" w:type="dxa"/>
              <w:bottom w:w="80" w:type="dxa"/>
              <w:left w:w="120" w:type="dxa"/>
              <w:right w:w="120" w:type="dxa"/>
            </w:tcMar>
            <w:tcW w:w="4320" w:type="dxa"/>
          </w:tcPr>
          <w:p>
            <w:pPr>
              <w:jc w:val="left"/>
            </w:pPr>
            <w:r>
              <w:rPr>
                <w:rFonts w:ascii="Arial" w:hAnsi="Arial"/>
                <w:b w:val="0"/>
                <w:sz w:val="18"/>
              </w:rPr>
              <w:t>Relaciones institucionales, ventas, financiamiento, operaciones</w:t>
            </w:r>
          </w:p>
        </w:tc>
        <w:tc>
          <w:tcPr>
            <w:tcW w:type="dxa" w:w="2880"/>
            <w:vAlign w:val="center"/>
            <w:shd w:val="clear" w:color="auto" w:fill="F2F2F2"/>
            <w:tcMar>
              <w:top w:w="80" w:type="dxa"/>
              <w:bottom w:w="80" w:type="dxa"/>
              <w:left w:w="120" w:type="dxa"/>
              <w:right w:w="120" w:type="dxa"/>
            </w:tcMar>
            <w:tcW w:w="3456" w:type="dxa"/>
          </w:tcPr>
          <w:p>
            <w:pPr>
              <w:jc w:val="left"/>
            </w:pPr>
            <w:r>
              <w:rPr>
                <w:rFonts w:ascii="Arial" w:hAnsi="Arial"/>
                <w:b w:val="0"/>
                <w:sz w:val="18"/>
              </w:rPr>
              <w:t>BD, agrotecnología, gestión de contratos</w:t>
            </w:r>
          </w:p>
        </w:tc>
      </w:tr>
    </w:tbl>
    <w:p>
      <w:pPr>
        <w:spacing w:before="40" w:after="160"/>
        <w:jc w:val="center"/>
      </w:pPr>
      <w:r>
        <w:rPr>
          <w:rFonts w:ascii="Arial" w:hAnsi="Arial"/>
          <w:i/>
          <w:color w:val="606060"/>
          <w:sz w:val="18"/>
        </w:rPr>
        <w:t>Tabla 6.1: Equipo fundador MILPÍN AgTech — Fase Piloto (Año 1)</w:t>
      </w:r>
    </w:p>
    <w:p>
      <w:pPr>
        <w:spacing w:after="40"/>
      </w:pPr>
    </w:p>
    <w:p>
      <w:pPr>
        <w:pStyle w:val="Heading2"/>
      </w:pPr>
      <w:r>
        <w:rPr>
          <w:rFonts w:ascii="Arial" w:hAnsi="Arial"/>
          <w:color w:val="2E75B6"/>
          <w:sz w:val="26"/>
        </w:rPr>
        <w:t>6.2 Expansión del Equipo (Año 2–3)</w:t>
      </w:r>
    </w:p>
    <w:p>
      <w:pPr>
        <w:spacing w:after="120"/>
        <w:jc w:val="left"/>
      </w:pPr>
      <w:r>
        <w:rPr>
          <w:rFonts w:ascii="Arial" w:hAnsi="Arial"/>
          <w:b w:val="0"/>
          <w:i w:val="0"/>
          <w:sz w:val="22"/>
        </w:rPr>
        <w:t>Al alcanzar 2,000 ha bajo gestión, el equipo crece con: Promotor(a) de Campo (capacitación, soporte presencial — crítico para compliance de captura de datos), Desarrollador(a) Frontend/UX (accesibilidad móvil, modo offline PWA), y Especialista en Datos (pipelines, monitoreo de drift, reportes de ahorro). Un Promotor de Campo es inversión obligatoria, no opcional, dada la evidencia de baja adopción sin soporte presencial en deployments agrícolas similares.</w:t>
      </w:r>
    </w:p>
    <w:p>
      <w:pPr>
        <w:spacing w:after="40"/>
      </w:pPr>
    </w:p>
    <w:p>
      <w:pPr>
        <w:pStyle w:val="Heading2"/>
      </w:pPr>
      <w:r>
        <w:rPr>
          <w:rFonts w:ascii="Arial" w:hAnsi="Arial"/>
          <w:color w:val="2E75B6"/>
          <w:sz w:val="26"/>
        </w:rPr>
        <w:t>6.3 Marco Legal y Constitución</w:t>
      </w:r>
    </w:p>
    <w:p>
      <w:pPr>
        <w:spacing w:after="120"/>
        <w:jc w:val="left"/>
      </w:pPr>
      <w:r>
        <w:rPr>
          <w:rFonts w:ascii="Arial" w:hAnsi="Arial"/>
          <w:b w:val="0"/>
          <w:i w:val="0"/>
          <w:sz w:val="22"/>
        </w:rPr>
        <w:t>Se constituye como Sociedad por Acciones Simplificada (SAS) bajo la legislación mexicana. La propiedad intelectual del código fuente, los modelos de ML entrenados y las marcas se registran ante el IMPI en el primer trimestre. Para la fase de financiamiento público, se explora la modalidad de empresa de base tecnológica (EBT) con CONAHCYT.</w:t>
      </w:r>
    </w:p>
    <w:p>
      <w:r>
        <w:br w:type="page"/>
      </w:r>
    </w:p>
    <w:p>
      <w:pPr>
        <w:pStyle w:val="Heading1"/>
      </w:pPr>
      <w:r>
        <w:rPr>
          <w:rFonts w:ascii="Arial" w:hAnsi="Arial"/>
          <w:color w:val="1F3864"/>
          <w:sz w:val="32"/>
        </w:rPr>
        <w:t>VII. Estudio Financiero (REVISADO)</w:t>
      </w:r>
    </w:p>
    <w:p>
      <w:pPr>
        <w:spacing w:before="80" w:after="160"/>
        <w:ind w:left="216"/>
        <w:shd w:val="clear" w:color="auto" w:fill="FFDCE1"/>
        <w:pBdr>
          <w:left w:val="single" w:sz="18" w:space="4" w:color="C0392B"/>
        </w:pBdr>
      </w:pPr>
      <w:r>
        <w:rPr>
          <w:rFonts w:ascii="Arial" w:hAnsi="Arial"/>
          <w:i/>
          <w:color w:val="333333"/>
          <w:sz w:val="20"/>
        </w:rPr>
        <w:t>Esta sección ha sido completamente revisada. La versión anterior asumía adopción exponencial (300→2,000→8,000 ha en 3 años) resultando en TIR de 120% y VAN de $4.1M a 3 años. Esos supuestos no resisten escrutinio: para una SaaS agrícola nueva en un mercado rural con ciclos de adopción lentos, esa curva de crecimiento es inconsistente con la evidencia empírica de la industria. Las cifras corregidas reflejan una adopción S-curve realista con punto de inflexión en Año 3–4.</w:t>
      </w:r>
    </w:p>
    <w:p>
      <w:pPr>
        <w:spacing w:after="40"/>
      </w:pPr>
    </w:p>
    <w:p>
      <w:pPr>
        <w:pStyle w:val="Heading2"/>
      </w:pPr>
      <w:r>
        <w:rPr>
          <w:rFonts w:ascii="Arial" w:hAnsi="Arial"/>
          <w:color w:val="2E75B6"/>
          <w:sz w:val="26"/>
        </w:rPr>
        <w:t>7.1 Inversión Inicial (CAPEX)</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3864"/>
            <w:tcMar>
              <w:top w:w="80" w:type="dxa"/>
              <w:bottom w:w="80" w:type="dxa"/>
              <w:left w:w="120" w:type="dxa"/>
              <w:right w:w="120" w:type="dxa"/>
            </w:tcMar>
            <w:tcW w:w="3600" w:type="dxa"/>
          </w:tcPr>
          <w:p>
            <w:pPr>
              <w:jc w:val="center"/>
            </w:pPr>
            <w:r>
              <w:rPr>
                <w:rFonts w:ascii="Arial" w:hAnsi="Arial"/>
                <w:b/>
                <w:color w:val="FFFFFF"/>
                <w:sz w:val="18"/>
              </w:rPr>
              <w:t>Concepto</w:t>
            </w:r>
          </w:p>
        </w:tc>
        <w:tc>
          <w:tcPr>
            <w:tcW w:type="dxa" w:w="2880"/>
            <w:vAlign w:val="center"/>
            <w:shd w:val="clear" w:color="auto" w:fill="1F3864"/>
            <w:tcMar>
              <w:top w:w="80" w:type="dxa"/>
              <w:bottom w:w="80" w:type="dxa"/>
              <w:left w:w="120" w:type="dxa"/>
              <w:right w:w="120" w:type="dxa"/>
            </w:tcMar>
            <w:tcW w:w="2160" w:type="dxa"/>
          </w:tcPr>
          <w:p>
            <w:pPr>
              <w:jc w:val="center"/>
            </w:pPr>
            <w:r>
              <w:rPr>
                <w:rFonts w:ascii="Arial" w:hAnsi="Arial"/>
                <w:b/>
                <w:color w:val="FFFFFF"/>
                <w:sz w:val="18"/>
              </w:rPr>
              <w:t>Monto (MXN)</w:t>
            </w:r>
          </w:p>
        </w:tc>
        <w:tc>
          <w:tcPr>
            <w:tcW w:type="dxa" w:w="2880"/>
            <w:vAlign w:val="center"/>
            <w:shd w:val="clear" w:color="auto" w:fill="1F3864"/>
            <w:tcMar>
              <w:top w:w="80" w:type="dxa"/>
              <w:bottom w:w="80" w:type="dxa"/>
              <w:left w:w="120" w:type="dxa"/>
              <w:right w:w="120" w:type="dxa"/>
            </w:tcMar>
            <w:tcW w:w="4896" w:type="dxa"/>
          </w:tcPr>
          <w:p>
            <w:pPr>
              <w:jc w:val="center"/>
            </w:pPr>
            <w:r>
              <w:rPr>
                <w:rFonts w:ascii="Arial" w:hAnsi="Arial"/>
                <w:b/>
                <w:color w:val="FFFFFF"/>
                <w:sz w:val="18"/>
              </w:rPr>
              <w:t>Justificación</w:t>
            </w:r>
          </w:p>
        </w:tc>
      </w:tr>
      <w:tr>
        <w:tc>
          <w:tcPr>
            <w:tcW w:type="dxa" w:w="2880"/>
            <w:vAlign w:val="center"/>
            <w:shd w:val="clear" w:color="auto" w:fill="F2F2F2"/>
            <w:tcMar>
              <w:top w:w="80" w:type="dxa"/>
              <w:bottom w:w="80" w:type="dxa"/>
              <w:left w:w="120" w:type="dxa"/>
              <w:right w:w="120" w:type="dxa"/>
            </w:tcMar>
            <w:tcW w:w="3600" w:type="dxa"/>
          </w:tcPr>
          <w:p>
            <w:pPr>
              <w:jc w:val="left"/>
            </w:pPr>
            <w:r>
              <w:rPr>
                <w:rFonts w:ascii="Arial" w:hAnsi="Arial"/>
                <w:b w:val="0"/>
                <w:sz w:val="18"/>
              </w:rPr>
              <w:t>Infraestructura cloud (setup inicial)</w:t>
            </w:r>
          </w:p>
        </w:tc>
        <w:tc>
          <w:tcPr>
            <w:tcW w:type="dxa" w:w="2880"/>
            <w:vAlign w:val="center"/>
            <w:shd w:val="clear" w:color="auto" w:fill="F2F2F2"/>
            <w:tcMar>
              <w:top w:w="80" w:type="dxa"/>
              <w:bottom w:w="80" w:type="dxa"/>
              <w:left w:w="120" w:type="dxa"/>
              <w:right w:w="120" w:type="dxa"/>
            </w:tcMar>
            <w:tcW w:w="2160" w:type="dxa"/>
          </w:tcPr>
          <w:p>
            <w:pPr>
              <w:jc w:val="left"/>
            </w:pPr>
            <w:r>
              <w:rPr>
                <w:rFonts w:ascii="Arial" w:hAnsi="Arial"/>
                <w:b w:val="0"/>
                <w:sz w:val="18"/>
              </w:rPr>
              <w:t>$80,000</w:t>
            </w:r>
          </w:p>
        </w:tc>
        <w:tc>
          <w:tcPr>
            <w:tcW w:type="dxa" w:w="2880"/>
            <w:vAlign w:val="center"/>
            <w:shd w:val="clear" w:color="auto" w:fill="F2F2F2"/>
            <w:tcMar>
              <w:top w:w="80" w:type="dxa"/>
              <w:bottom w:w="80" w:type="dxa"/>
              <w:left w:w="120" w:type="dxa"/>
              <w:right w:w="120" w:type="dxa"/>
            </w:tcMar>
            <w:tcW w:w="4896" w:type="dxa"/>
          </w:tcPr>
          <w:p>
            <w:pPr>
              <w:jc w:val="left"/>
            </w:pPr>
            <w:r>
              <w:rPr>
                <w:rFonts w:ascii="Arial" w:hAnsi="Arial"/>
                <w:b w:val="0"/>
                <w:sz w:val="18"/>
              </w:rPr>
              <w:t>VPS, dominio, SSL, monitoreo Año 0</w:t>
            </w:r>
          </w:p>
        </w:tc>
      </w:tr>
      <w:tr>
        <w:tc>
          <w:tcPr>
            <w:tcW w:type="dxa" w:w="2880"/>
            <w:vAlign w:val="center"/>
            <w:shd w:val="clear" w:color="auto" w:fill="FFFFFF"/>
            <w:tcMar>
              <w:top w:w="80" w:type="dxa"/>
              <w:bottom w:w="80" w:type="dxa"/>
              <w:left w:w="120" w:type="dxa"/>
              <w:right w:w="120" w:type="dxa"/>
            </w:tcMar>
            <w:tcW w:w="3600" w:type="dxa"/>
          </w:tcPr>
          <w:p>
            <w:pPr>
              <w:jc w:val="left"/>
            </w:pPr>
            <w:r>
              <w:rPr>
                <w:rFonts w:ascii="Arial" w:hAnsi="Arial"/>
                <w:b w:val="0"/>
                <w:sz w:val="18"/>
              </w:rPr>
              <w:t>Registro legal (SAS + IMPI + contratos)</w:t>
            </w:r>
          </w:p>
        </w:tc>
        <w:tc>
          <w:tcPr>
            <w:tcW w:type="dxa" w:w="2880"/>
            <w:vAlign w:val="center"/>
            <w:shd w:val="clear" w:color="auto" w:fill="FFFFFF"/>
            <w:tcMar>
              <w:top w:w="80" w:type="dxa"/>
              <w:bottom w:w="80" w:type="dxa"/>
              <w:left w:w="120" w:type="dxa"/>
              <w:right w:w="120" w:type="dxa"/>
            </w:tcMar>
            <w:tcW w:w="2160" w:type="dxa"/>
          </w:tcPr>
          <w:p>
            <w:pPr>
              <w:jc w:val="left"/>
            </w:pPr>
            <w:r>
              <w:rPr>
                <w:rFonts w:ascii="Arial" w:hAnsi="Arial"/>
                <w:b w:val="0"/>
                <w:sz w:val="18"/>
              </w:rPr>
              <w:t>$60,000</w:t>
            </w:r>
          </w:p>
        </w:tc>
        <w:tc>
          <w:tcPr>
            <w:tcW w:type="dxa" w:w="2880"/>
            <w:vAlign w:val="center"/>
            <w:shd w:val="clear" w:color="auto" w:fill="FFFFFF"/>
            <w:tcMar>
              <w:top w:w="80" w:type="dxa"/>
              <w:bottom w:w="80" w:type="dxa"/>
              <w:left w:w="120" w:type="dxa"/>
              <w:right w:w="120" w:type="dxa"/>
            </w:tcMar>
            <w:tcW w:w="4896" w:type="dxa"/>
          </w:tcPr>
          <w:p>
            <w:pPr>
              <w:jc w:val="left"/>
            </w:pPr>
            <w:r>
              <w:rPr>
                <w:rFonts w:ascii="Arial" w:hAnsi="Arial"/>
                <w:b w:val="0"/>
                <w:sz w:val="18"/>
              </w:rPr>
              <w:t>Constitución, PI, contratos tipo</w:t>
            </w:r>
          </w:p>
        </w:tc>
      </w:tr>
      <w:tr>
        <w:tc>
          <w:tcPr>
            <w:tcW w:type="dxa" w:w="2880"/>
            <w:vAlign w:val="center"/>
            <w:shd w:val="clear" w:color="auto" w:fill="F2F2F2"/>
            <w:tcMar>
              <w:top w:w="80" w:type="dxa"/>
              <w:bottom w:w="80" w:type="dxa"/>
              <w:left w:w="120" w:type="dxa"/>
              <w:right w:w="120" w:type="dxa"/>
            </w:tcMar>
            <w:tcW w:w="3600" w:type="dxa"/>
          </w:tcPr>
          <w:p>
            <w:pPr>
              <w:jc w:val="left"/>
            </w:pPr>
            <w:r>
              <w:rPr>
                <w:rFonts w:ascii="Arial" w:hAnsi="Arial"/>
                <w:b w:val="0"/>
                <w:sz w:val="18"/>
              </w:rPr>
              <w:t>Materiales de campo y capacitación</w:t>
            </w:r>
          </w:p>
        </w:tc>
        <w:tc>
          <w:tcPr>
            <w:tcW w:type="dxa" w:w="2880"/>
            <w:vAlign w:val="center"/>
            <w:shd w:val="clear" w:color="auto" w:fill="F2F2F2"/>
            <w:tcMar>
              <w:top w:w="80" w:type="dxa"/>
              <w:bottom w:w="80" w:type="dxa"/>
              <w:left w:w="120" w:type="dxa"/>
              <w:right w:w="120" w:type="dxa"/>
            </w:tcMar>
            <w:tcW w:w="2160" w:type="dxa"/>
          </w:tcPr>
          <w:p>
            <w:pPr>
              <w:jc w:val="left"/>
            </w:pPr>
            <w:r>
              <w:rPr>
                <w:rFonts w:ascii="Arial" w:hAnsi="Arial"/>
                <w:b w:val="0"/>
                <w:sz w:val="18"/>
              </w:rPr>
              <w:t>$40,000</w:t>
            </w:r>
          </w:p>
        </w:tc>
        <w:tc>
          <w:tcPr>
            <w:tcW w:type="dxa" w:w="2880"/>
            <w:vAlign w:val="center"/>
            <w:shd w:val="clear" w:color="auto" w:fill="F2F2F2"/>
            <w:tcMar>
              <w:top w:w="80" w:type="dxa"/>
              <w:bottom w:w="80" w:type="dxa"/>
              <w:left w:w="120" w:type="dxa"/>
              <w:right w:w="120" w:type="dxa"/>
            </w:tcMar>
            <w:tcW w:w="4896" w:type="dxa"/>
          </w:tcPr>
          <w:p>
            <w:pPr>
              <w:jc w:val="left"/>
            </w:pPr>
            <w:r>
              <w:rPr>
                <w:rFonts w:ascii="Arial" w:hAnsi="Arial"/>
                <w:b w:val="0"/>
                <w:sz w:val="18"/>
              </w:rPr>
              <w:t>Tablets, manuales, demos piloto</w:t>
            </w:r>
          </w:p>
        </w:tc>
      </w:tr>
      <w:tr>
        <w:tc>
          <w:tcPr>
            <w:tcW w:type="dxa" w:w="2880"/>
            <w:vAlign w:val="center"/>
            <w:shd w:val="clear" w:color="auto" w:fill="FFF2CC"/>
            <w:tcMar>
              <w:top w:w="80" w:type="dxa"/>
              <w:bottom w:w="80" w:type="dxa"/>
              <w:left w:w="120" w:type="dxa"/>
              <w:right w:w="120" w:type="dxa"/>
            </w:tcMar>
            <w:tcW w:w="3600" w:type="dxa"/>
          </w:tcPr>
          <w:p>
            <w:pPr>
              <w:jc w:val="left"/>
            </w:pPr>
            <w:r>
              <w:rPr>
                <w:rFonts w:ascii="Arial" w:hAnsi="Arial"/>
                <w:b/>
                <w:sz w:val="18"/>
              </w:rPr>
              <w:t>Estación meteorológica local (nuevo)</w:t>
            </w:r>
          </w:p>
        </w:tc>
        <w:tc>
          <w:tcPr>
            <w:tcW w:type="dxa" w:w="2880"/>
            <w:vAlign w:val="center"/>
            <w:shd w:val="clear" w:color="auto" w:fill="FFF2CC"/>
            <w:tcMar>
              <w:top w:w="80" w:type="dxa"/>
              <w:bottom w:w="80" w:type="dxa"/>
              <w:left w:w="120" w:type="dxa"/>
              <w:right w:w="120" w:type="dxa"/>
            </w:tcMar>
            <w:tcW w:w="2160" w:type="dxa"/>
          </w:tcPr>
          <w:p>
            <w:pPr>
              <w:jc w:val="center"/>
            </w:pPr>
            <w:r>
              <w:rPr>
                <w:rFonts w:ascii="Arial" w:hAnsi="Arial"/>
                <w:b w:val="0"/>
                <w:sz w:val="18"/>
              </w:rPr>
              <w:t>$30,000</w:t>
            </w:r>
          </w:p>
        </w:tc>
        <w:tc>
          <w:tcPr>
            <w:tcW w:type="dxa" w:w="2880"/>
            <w:vAlign w:val="center"/>
            <w:shd w:val="clear" w:color="auto" w:fill="FFF2CC"/>
            <w:tcMar>
              <w:top w:w="80" w:type="dxa"/>
              <w:bottom w:w="80" w:type="dxa"/>
              <w:left w:w="120" w:type="dxa"/>
              <w:right w:w="120" w:type="dxa"/>
            </w:tcMar>
            <w:tcW w:w="4896" w:type="dxa"/>
          </w:tcPr>
          <w:p>
            <w:pPr>
              <w:jc w:val="left"/>
            </w:pPr>
            <w:r>
              <w:rPr>
                <w:rFonts w:ascii="Arial" w:hAnsi="Arial"/>
                <w:b w:val="0"/>
                <w:sz w:val="18"/>
              </w:rPr>
              <w:t>Calibración local vs. NASA POWER — crítico para reducir ±12% de error en ETo</w:t>
            </w:r>
          </w:p>
        </w:tc>
      </w:tr>
      <w:tr>
        <w:tc>
          <w:tcPr>
            <w:tcW w:type="dxa" w:w="2880"/>
            <w:vAlign w:val="center"/>
            <w:shd w:val="clear" w:color="auto" w:fill="F2F2F2"/>
            <w:tcMar>
              <w:top w:w="80" w:type="dxa"/>
              <w:bottom w:w="80" w:type="dxa"/>
              <w:left w:w="120" w:type="dxa"/>
              <w:right w:w="120" w:type="dxa"/>
            </w:tcMar>
            <w:tcW w:w="3600" w:type="dxa"/>
          </w:tcPr>
          <w:p>
            <w:pPr>
              <w:jc w:val="left"/>
            </w:pPr>
            <w:r>
              <w:rPr>
                <w:rFonts w:ascii="Arial" w:hAnsi="Arial"/>
                <w:b w:val="0"/>
                <w:sz w:val="18"/>
              </w:rPr>
              <w:t>Capital de trabajo (reserva 6 meses)</w:t>
            </w:r>
          </w:p>
        </w:tc>
        <w:tc>
          <w:tcPr>
            <w:tcW w:type="dxa" w:w="2880"/>
            <w:vAlign w:val="center"/>
            <w:shd w:val="clear" w:color="auto" w:fill="F2F2F2"/>
            <w:tcMar>
              <w:top w:w="80" w:type="dxa"/>
              <w:bottom w:w="80" w:type="dxa"/>
              <w:left w:w="120" w:type="dxa"/>
              <w:right w:w="120" w:type="dxa"/>
            </w:tcMar>
            <w:tcW w:w="2160" w:type="dxa"/>
          </w:tcPr>
          <w:p>
            <w:pPr>
              <w:jc w:val="left"/>
            </w:pPr>
            <w:r>
              <w:rPr>
                <w:rFonts w:ascii="Arial" w:hAnsi="Arial"/>
                <w:b w:val="0"/>
                <w:sz w:val="18"/>
              </w:rPr>
              <w:t>$240,000</w:t>
            </w:r>
          </w:p>
        </w:tc>
        <w:tc>
          <w:tcPr>
            <w:tcW w:type="dxa" w:w="2880"/>
            <w:vAlign w:val="center"/>
            <w:shd w:val="clear" w:color="auto" w:fill="F2F2F2"/>
            <w:tcMar>
              <w:top w:w="80" w:type="dxa"/>
              <w:bottom w:w="80" w:type="dxa"/>
              <w:left w:w="120" w:type="dxa"/>
              <w:right w:w="120" w:type="dxa"/>
            </w:tcMar>
            <w:tcW w:w="4896" w:type="dxa"/>
          </w:tcPr>
          <w:p>
            <w:pPr>
              <w:jc w:val="left"/>
            </w:pPr>
            <w:r>
              <w:rPr>
                <w:rFonts w:ascii="Arial" w:hAnsi="Arial"/>
                <w:b w:val="0"/>
                <w:sz w:val="18"/>
              </w:rPr>
              <w:t>Déficit operativo Año 1</w:t>
            </w:r>
          </w:p>
        </w:tc>
      </w:tr>
      <w:tr>
        <w:tc>
          <w:tcPr>
            <w:tcW w:type="dxa" w:w="2880"/>
            <w:vAlign w:val="center"/>
            <w:shd w:val="clear" w:color="auto" w:fill="D5E8F0"/>
            <w:tcMar>
              <w:top w:w="80" w:type="dxa"/>
              <w:bottom w:w="80" w:type="dxa"/>
              <w:left w:w="120" w:type="dxa"/>
              <w:right w:w="120" w:type="dxa"/>
            </w:tcMar>
            <w:tcW w:w="3600" w:type="dxa"/>
          </w:tcPr>
          <w:p>
            <w:pPr>
              <w:jc w:val="left"/>
            </w:pPr>
            <w:r>
              <w:rPr>
                <w:rFonts w:ascii="Arial" w:hAnsi="Arial"/>
                <w:b/>
                <w:sz w:val="18"/>
              </w:rPr>
              <w:t>TOTAL CAPEX</w:t>
            </w:r>
          </w:p>
        </w:tc>
        <w:tc>
          <w:tcPr>
            <w:tcW w:type="dxa" w:w="2880"/>
            <w:vAlign w:val="center"/>
            <w:shd w:val="clear" w:color="auto" w:fill="D5E8F0"/>
            <w:tcMar>
              <w:top w:w="80" w:type="dxa"/>
              <w:bottom w:w="80" w:type="dxa"/>
              <w:left w:w="120" w:type="dxa"/>
              <w:right w:w="120" w:type="dxa"/>
            </w:tcMar>
            <w:tcW w:w="2160" w:type="dxa"/>
          </w:tcPr>
          <w:p>
            <w:pPr>
              <w:jc w:val="center"/>
            </w:pPr>
            <w:r>
              <w:rPr>
                <w:rFonts w:ascii="Arial" w:hAnsi="Arial"/>
                <w:b/>
                <w:sz w:val="18"/>
              </w:rPr>
              <w:t>$450,000 MXN</w:t>
            </w:r>
          </w:p>
        </w:tc>
        <w:tc>
          <w:tcPr>
            <w:tcW w:type="dxa" w:w="2880"/>
            <w:vAlign w:val="center"/>
            <w:shd w:val="clear" w:color="auto" w:fill="D5E8F0"/>
            <w:tcMar>
              <w:top w:w="80" w:type="dxa"/>
              <w:bottom w:w="80" w:type="dxa"/>
              <w:left w:w="120" w:type="dxa"/>
              <w:right w:w="120" w:type="dxa"/>
            </w:tcMar>
            <w:tcW w:w="4896" w:type="dxa"/>
          </w:tcPr>
          <w:p>
            <w:pPr>
              <w:jc w:val="left"/>
            </w:pPr>
            <w:r>
              <w:rPr>
                <w:rFonts w:ascii="Arial" w:hAnsi="Arial"/>
                <w:b w:val="0"/>
                <w:sz w:val="18"/>
              </w:rPr>
              <w:t>~USD 22,500 a tipo de cambio $20/USD</w:t>
            </w:r>
          </w:p>
        </w:tc>
      </w:tr>
    </w:tbl>
    <w:p>
      <w:pPr>
        <w:spacing w:before="40" w:after="160"/>
        <w:jc w:val="center"/>
      </w:pPr>
      <w:r>
        <w:rPr>
          <w:rFonts w:ascii="Arial" w:hAnsi="Arial"/>
          <w:i/>
          <w:color w:val="606060"/>
          <w:sz w:val="18"/>
        </w:rPr>
        <w:t>Tabla 7.1: Inversión inicial requerida. Se añade estación meteorológica para reducir error de calibración.</w:t>
      </w:r>
    </w:p>
    <w:p>
      <w:pPr>
        <w:spacing w:after="40"/>
      </w:pPr>
    </w:p>
    <w:p>
      <w:pPr>
        <w:pStyle w:val="Heading2"/>
      </w:pPr>
      <w:r>
        <w:rPr>
          <w:rFonts w:ascii="Arial" w:hAnsi="Arial"/>
          <w:color w:val="2E75B6"/>
          <w:sz w:val="26"/>
        </w:rPr>
        <w:t>7.2 Costos Operativos Anuales (OPEX) — Revisados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3864"/>
            <w:tcMar>
              <w:top w:w="80" w:type="dxa"/>
              <w:bottom w:w="80" w:type="dxa"/>
              <w:left w:w="120" w:type="dxa"/>
              <w:right w:w="120" w:type="dxa"/>
            </w:tcMar>
            <w:tcW w:w="3600" w:type="dxa"/>
          </w:tcPr>
          <w:p>
            <w:pPr>
              <w:jc w:val="center"/>
            </w:pPr>
            <w:r>
              <w:rPr>
                <w:rFonts w:ascii="Arial" w:hAnsi="Arial"/>
                <w:b/>
                <w:color w:val="FFFFFF"/>
                <w:sz w:val="18"/>
              </w:rPr>
              <w:t>Rubro</w:t>
            </w:r>
          </w:p>
        </w:tc>
        <w:tc>
          <w:tcPr>
            <w:tcW w:type="dxa" w:w="2160"/>
            <w:vAlign w:val="center"/>
            <w:shd w:val="clear" w:color="auto" w:fill="1F3864"/>
            <w:tcMar>
              <w:top w:w="80" w:type="dxa"/>
              <w:bottom w:w="80" w:type="dxa"/>
              <w:left w:w="120" w:type="dxa"/>
              <w:right w:w="120" w:type="dxa"/>
            </w:tcMar>
            <w:tcW w:w="2160" w:type="dxa"/>
          </w:tcPr>
          <w:p>
            <w:pPr>
              <w:jc w:val="center"/>
            </w:pPr>
            <w:r>
              <w:rPr>
                <w:rFonts w:ascii="Arial" w:hAnsi="Arial"/>
                <w:b/>
                <w:color w:val="FFFFFF"/>
                <w:sz w:val="18"/>
              </w:rPr>
              <w:t>Año 1</w:t>
            </w:r>
          </w:p>
        </w:tc>
        <w:tc>
          <w:tcPr>
            <w:tcW w:type="dxa" w:w="2160"/>
            <w:vAlign w:val="center"/>
            <w:shd w:val="clear" w:color="auto" w:fill="1F3864"/>
            <w:tcMar>
              <w:top w:w="80" w:type="dxa"/>
              <w:bottom w:w="80" w:type="dxa"/>
              <w:left w:w="120" w:type="dxa"/>
              <w:right w:w="120" w:type="dxa"/>
            </w:tcMar>
            <w:tcW w:w="2160" w:type="dxa"/>
          </w:tcPr>
          <w:p>
            <w:pPr>
              <w:jc w:val="center"/>
            </w:pPr>
            <w:r>
              <w:rPr>
                <w:rFonts w:ascii="Arial" w:hAnsi="Arial"/>
                <w:b/>
                <w:color w:val="FFFFFF"/>
                <w:sz w:val="18"/>
              </w:rPr>
              <w:t>Año 2</w:t>
            </w:r>
          </w:p>
        </w:tc>
        <w:tc>
          <w:tcPr>
            <w:tcW w:type="dxa" w:w="2160"/>
            <w:vAlign w:val="center"/>
            <w:shd w:val="clear" w:color="auto" w:fill="1F3864"/>
            <w:tcMar>
              <w:top w:w="80" w:type="dxa"/>
              <w:bottom w:w="80" w:type="dxa"/>
              <w:left w:w="120" w:type="dxa"/>
              <w:right w:w="120" w:type="dxa"/>
            </w:tcMar>
            <w:tcW w:w="2736" w:type="dxa"/>
          </w:tcPr>
          <w:p>
            <w:pPr>
              <w:jc w:val="center"/>
            </w:pPr>
            <w:r>
              <w:rPr>
                <w:rFonts w:ascii="Arial" w:hAnsi="Arial"/>
                <w:b/>
                <w:color w:val="FFFFFF"/>
                <w:sz w:val="18"/>
              </w:rPr>
              <w:t>Año 3</w:t>
            </w:r>
          </w:p>
        </w:tc>
      </w:tr>
      <w:tr>
        <w:tc>
          <w:tcPr>
            <w:tcW w:type="dxa" w:w="2160"/>
            <w:vAlign w:val="center"/>
            <w:shd w:val="clear" w:color="auto" w:fill="F2F2F2"/>
            <w:tcMar>
              <w:top w:w="80" w:type="dxa"/>
              <w:bottom w:w="80" w:type="dxa"/>
              <w:left w:w="120" w:type="dxa"/>
              <w:right w:w="120" w:type="dxa"/>
            </w:tcMar>
            <w:tcW w:w="3600" w:type="dxa"/>
          </w:tcPr>
          <w:p>
            <w:pPr>
              <w:jc w:val="left"/>
            </w:pPr>
            <w:r>
              <w:rPr>
                <w:rFonts w:ascii="Arial" w:hAnsi="Arial"/>
                <w:b w:val="0"/>
                <w:sz w:val="18"/>
              </w:rPr>
              <w:t>Infraestructura cloud</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$144,000</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$200,000</w:t>
            </w:r>
          </w:p>
        </w:tc>
        <w:tc>
          <w:tcPr>
            <w:tcW w:type="dxa" w:w="2160"/>
            <w:vAlign w:val="center"/>
            <w:shd w:val="clear" w:color="auto" w:fill="F2F2F2"/>
            <w:tcMar>
              <w:top w:w="80" w:type="dxa"/>
              <w:bottom w:w="80" w:type="dxa"/>
              <w:left w:w="120" w:type="dxa"/>
              <w:right w:w="120" w:type="dxa"/>
            </w:tcMar>
            <w:tcW w:w="2736" w:type="dxa"/>
          </w:tcPr>
          <w:p>
            <w:pPr>
              <w:jc w:val="left"/>
            </w:pPr>
            <w:r>
              <w:rPr>
                <w:rFonts w:ascii="Arial" w:hAnsi="Arial"/>
                <w:b w:val="0"/>
                <w:sz w:val="18"/>
              </w:rPr>
              <w:t>$280,000</w:t>
            </w:r>
          </w:p>
        </w:tc>
      </w:tr>
      <w:tr>
        <w:tc>
          <w:tcPr>
            <w:tcW w:type="dxa" w:w="2160"/>
            <w:vAlign w:val="center"/>
            <w:shd w:val="clear" w:color="auto" w:fill="FFFFFF"/>
            <w:tcMar>
              <w:top w:w="80" w:type="dxa"/>
              <w:bottom w:w="80" w:type="dxa"/>
              <w:left w:w="120" w:type="dxa"/>
              <w:right w:w="120" w:type="dxa"/>
            </w:tcMar>
            <w:tcW w:w="3600" w:type="dxa"/>
          </w:tcPr>
          <w:p>
            <w:pPr>
              <w:jc w:val="left"/>
            </w:pPr>
            <w:r>
              <w:rPr>
                <w:rFonts w:ascii="Arial" w:hAnsi="Arial"/>
                <w:b w:val="0"/>
                <w:sz w:val="18"/>
              </w:rPr>
              <w:t>Equipo técnico (2→3→4 personas)</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$360,000</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$600,000</w:t>
            </w:r>
          </w:p>
        </w:tc>
        <w:tc>
          <w:tcPr>
            <w:tcW w:type="dxa" w:w="2160"/>
            <w:vAlign w:val="center"/>
            <w:shd w:val="clear" w:color="auto" w:fill="FFFFFF"/>
            <w:tcMar>
              <w:top w:w="80" w:type="dxa"/>
              <w:bottom w:w="80" w:type="dxa"/>
              <w:left w:w="120" w:type="dxa"/>
              <w:right w:w="120" w:type="dxa"/>
            </w:tcMar>
            <w:tcW w:w="2736" w:type="dxa"/>
          </w:tcPr>
          <w:p>
            <w:pPr>
              <w:jc w:val="left"/>
            </w:pPr>
            <w:r>
              <w:rPr>
                <w:rFonts w:ascii="Arial" w:hAnsi="Arial"/>
                <w:b w:val="0"/>
                <w:sz w:val="18"/>
              </w:rPr>
              <w:t>$840,000</w:t>
            </w:r>
          </w:p>
        </w:tc>
      </w:tr>
      <w:tr>
        <w:tc>
          <w:tcPr>
            <w:tcW w:type="dxa" w:w="2160"/>
            <w:vAlign w:val="center"/>
            <w:shd w:val="clear" w:color="auto" w:fill="F2F2F2"/>
            <w:tcMar>
              <w:top w:w="80" w:type="dxa"/>
              <w:bottom w:w="80" w:type="dxa"/>
              <w:left w:w="120" w:type="dxa"/>
              <w:right w:w="120" w:type="dxa"/>
            </w:tcMar>
            <w:tcW w:w="3600" w:type="dxa"/>
          </w:tcPr>
          <w:p>
            <w:pPr>
              <w:jc w:val="left"/>
            </w:pPr>
            <w:r>
              <w:rPr>
                <w:rFonts w:ascii="Arial" w:hAnsi="Arial"/>
                <w:b w:val="0"/>
                <w:sz w:val="18"/>
              </w:rPr>
              <w:t>Ventas y campo (1→2→3 pers.)</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$120,000</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$300,000</w:t>
            </w:r>
          </w:p>
        </w:tc>
        <w:tc>
          <w:tcPr>
            <w:tcW w:type="dxa" w:w="2160"/>
            <w:vAlign w:val="center"/>
            <w:shd w:val="clear" w:color="auto" w:fill="F2F2F2"/>
            <w:tcMar>
              <w:top w:w="80" w:type="dxa"/>
              <w:bottom w:w="80" w:type="dxa"/>
              <w:left w:w="120" w:type="dxa"/>
              <w:right w:w="120" w:type="dxa"/>
            </w:tcMar>
            <w:tcW w:w="2736" w:type="dxa"/>
          </w:tcPr>
          <w:p>
            <w:pPr>
              <w:jc w:val="left"/>
            </w:pPr>
            <w:r>
              <w:rPr>
                <w:rFonts w:ascii="Arial" w:hAnsi="Arial"/>
                <w:b w:val="0"/>
                <w:sz w:val="18"/>
              </w:rPr>
              <w:t>$420,000</w:t>
            </w:r>
          </w:p>
        </w:tc>
      </w:tr>
      <w:tr>
        <w:tc>
          <w:tcPr>
            <w:tcW w:type="dxa" w:w="2160"/>
            <w:vAlign w:val="center"/>
            <w:shd w:val="clear" w:color="auto" w:fill="FFFFFF"/>
            <w:tcMar>
              <w:top w:w="80" w:type="dxa"/>
              <w:bottom w:w="80" w:type="dxa"/>
              <w:left w:w="120" w:type="dxa"/>
              <w:right w:w="120" w:type="dxa"/>
            </w:tcMar>
            <w:tcW w:w="3600" w:type="dxa"/>
          </w:tcPr>
          <w:p>
            <w:pPr>
              <w:jc w:val="left"/>
            </w:pPr>
            <w:r>
              <w:rPr>
                <w:rFonts w:ascii="Arial" w:hAnsi="Arial"/>
                <w:b w:val="0"/>
                <w:sz w:val="18"/>
              </w:rPr>
              <w:t>Operaciones y admin</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$76,000</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$100,000</w:t>
            </w:r>
          </w:p>
        </w:tc>
        <w:tc>
          <w:tcPr>
            <w:tcW w:type="dxa" w:w="2160"/>
            <w:vAlign w:val="center"/>
            <w:shd w:val="clear" w:color="auto" w:fill="FFFFFF"/>
            <w:tcMar>
              <w:top w:w="80" w:type="dxa"/>
              <w:bottom w:w="80" w:type="dxa"/>
              <w:left w:w="120" w:type="dxa"/>
              <w:right w:w="120" w:type="dxa"/>
            </w:tcMar>
            <w:tcW w:w="2736" w:type="dxa"/>
          </w:tcPr>
          <w:p>
            <w:pPr>
              <w:jc w:val="left"/>
            </w:pPr>
            <w:r>
              <w:rPr>
                <w:rFonts w:ascii="Arial" w:hAnsi="Arial"/>
                <w:b w:val="0"/>
                <w:sz w:val="18"/>
              </w:rPr>
              <w:t>$160,000</w:t>
            </w:r>
          </w:p>
        </w:tc>
      </w:tr>
      <w:tr>
        <w:tc>
          <w:tcPr>
            <w:tcW w:type="dxa" w:w="2160"/>
            <w:vAlign w:val="center"/>
            <w:shd w:val="clear" w:color="auto" w:fill="D5E8F0"/>
            <w:tcMar>
              <w:top w:w="80" w:type="dxa"/>
              <w:bottom w:w="80" w:type="dxa"/>
              <w:left w:w="120" w:type="dxa"/>
              <w:right w:w="120" w:type="dxa"/>
            </w:tcMar>
            <w:tcW w:w="3600" w:type="dxa"/>
          </w:tcPr>
          <w:p>
            <w:pPr>
              <w:jc w:val="left"/>
            </w:pPr>
            <w:r>
              <w:rPr>
                <w:rFonts w:ascii="Arial" w:hAnsi="Arial"/>
                <w:b/>
                <w:sz w:val="18"/>
              </w:rPr>
              <w:t>TOTAL OPEX</w:t>
            </w:r>
          </w:p>
        </w:tc>
        <w:tc>
          <w:tcPr>
            <w:tcW w:type="dxa" w:w="2160"/>
            <w:vAlign w:val="center"/>
            <w:shd w:val="clear" w:color="auto" w:fill="D5E8F0"/>
            <w:tcMar>
              <w:top w:w="80" w:type="dxa"/>
              <w:bottom w:w="80" w:type="dxa"/>
              <w:left w:w="120" w:type="dxa"/>
              <w:right w:w="120" w:type="dxa"/>
            </w:tcMar>
            <w:tcW w:w="2160" w:type="dxa"/>
          </w:tcPr>
          <w:p>
            <w:pPr>
              <w:jc w:val="center"/>
            </w:pPr>
            <w:r>
              <w:rPr>
                <w:rFonts w:ascii="Arial" w:hAnsi="Arial"/>
                <w:b/>
                <w:sz w:val="18"/>
              </w:rPr>
              <w:t>$700,000</w:t>
            </w:r>
          </w:p>
        </w:tc>
        <w:tc>
          <w:tcPr>
            <w:tcW w:type="dxa" w:w="2160"/>
            <w:vAlign w:val="center"/>
            <w:shd w:val="clear" w:color="auto" w:fill="D5E8F0"/>
            <w:tcMar>
              <w:top w:w="80" w:type="dxa"/>
              <w:bottom w:w="80" w:type="dxa"/>
              <w:left w:w="120" w:type="dxa"/>
              <w:right w:w="120" w:type="dxa"/>
            </w:tcMar>
            <w:tcW w:w="2160" w:type="dxa"/>
          </w:tcPr>
          <w:p>
            <w:pPr>
              <w:jc w:val="center"/>
            </w:pPr>
            <w:r>
              <w:rPr>
                <w:rFonts w:ascii="Arial" w:hAnsi="Arial"/>
                <w:b/>
                <w:sz w:val="18"/>
              </w:rPr>
              <w:t>$1,200,000</w:t>
            </w:r>
          </w:p>
        </w:tc>
        <w:tc>
          <w:tcPr>
            <w:tcW w:type="dxa" w:w="2160"/>
            <w:vAlign w:val="center"/>
            <w:shd w:val="clear" w:color="auto" w:fill="D5E8F0"/>
            <w:tcMar>
              <w:top w:w="80" w:type="dxa"/>
              <w:bottom w:w="80" w:type="dxa"/>
              <w:left w:w="120" w:type="dxa"/>
              <w:right w:w="120" w:type="dxa"/>
            </w:tcMar>
            <w:tcW w:w="2736" w:type="dxa"/>
          </w:tcPr>
          <w:p>
            <w:pPr>
              <w:jc w:val="center"/>
            </w:pPr>
            <w:r>
              <w:rPr>
                <w:rFonts w:ascii="Arial" w:hAnsi="Arial"/>
                <w:b/>
                <w:sz w:val="18"/>
              </w:rPr>
              <w:t>$1,700,000</w:t>
            </w:r>
          </w:p>
        </w:tc>
      </w:tr>
    </w:tbl>
    <w:p>
      <w:pPr>
        <w:spacing w:before="40" w:after="160"/>
        <w:jc w:val="center"/>
      </w:pPr>
      <w:r>
        <w:rPr>
          <w:rFonts w:ascii="Arial" w:hAnsi="Arial"/>
          <w:i/>
          <w:color w:val="606060"/>
          <w:sz w:val="18"/>
        </w:rPr>
        <w:t>Tabla 7.2: OPEX revisado. Año 1 se reduce respecto a versión anterior al reflejar equipo mínimo viable (2 fundadores + 1 agrónomo). Se añade promotor de campo en Año 2 como inversión obligatoria.</w:t>
      </w:r>
    </w:p>
    <w:p>
      <w:pPr>
        <w:spacing w:after="40"/>
      </w:pPr>
    </w:p>
    <w:p>
      <w:pPr>
        <w:pStyle w:val="Heading2"/>
      </w:pPr>
      <w:r>
        <w:rPr>
          <w:rFonts w:ascii="Arial" w:hAnsi="Arial"/>
          <w:color w:val="2E75B6"/>
          <w:sz w:val="26"/>
        </w:rPr>
        <w:t>7.3 Proyección de Ingresos (3 Años) — Revisada</w:t>
      </w:r>
    </w:p>
    <w:p>
      <w:pPr>
        <w:spacing w:before="80" w:after="160"/>
        <w:ind w:left="216"/>
        <w:shd w:val="clear" w:color="auto" w:fill="FFF2CC"/>
        <w:pBdr>
          <w:left w:val="single" w:sz="18" w:space="4" w:color="F0A000"/>
        </w:pBdr>
      </w:pPr>
      <w:r>
        <w:rPr>
          <w:rFonts w:ascii="Arial" w:hAnsi="Arial"/>
          <w:i/>
          <w:color w:val="333333"/>
          <w:sz w:val="20"/>
        </w:rPr>
        <w:t>Supuestos de adopción revisados: Año 1 = piloto con 5–10 productores (~80 ha, precio reducido); Año 2 = expansión por referido + ventas activas (~400 ha, precio completo); Año 3 = escala con promotor de campo (~1,500 ha). Comparación: versión anterior asumía 300→2,000→8,000 ha.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3864"/>
            <w:tcMar>
              <w:top w:w="80" w:type="dxa"/>
              <w:bottom w:w="80" w:type="dxa"/>
              <w:left w:w="120" w:type="dxa"/>
              <w:right w:w="120" w:type="dxa"/>
            </w:tcMar>
            <w:tcW w:w="3600" w:type="dxa"/>
          </w:tcPr>
          <w:p>
            <w:pPr>
              <w:jc w:val="center"/>
            </w:pPr>
            <w:r>
              <w:rPr>
                <w:rFonts w:ascii="Arial" w:hAnsi="Arial"/>
                <w:b/>
                <w:color w:val="FFFFFF"/>
                <w:sz w:val="18"/>
              </w:rPr>
              <w:t>Concepto</w:t>
            </w:r>
          </w:p>
        </w:tc>
        <w:tc>
          <w:tcPr>
            <w:tcW w:type="dxa" w:w="2160"/>
            <w:vAlign w:val="center"/>
            <w:shd w:val="clear" w:color="auto" w:fill="1F3864"/>
            <w:tcMar>
              <w:top w:w="80" w:type="dxa"/>
              <w:bottom w:w="80" w:type="dxa"/>
              <w:left w:w="120" w:type="dxa"/>
              <w:right w:w="120" w:type="dxa"/>
            </w:tcMar>
            <w:tcW w:w="2160" w:type="dxa"/>
          </w:tcPr>
          <w:p>
            <w:pPr>
              <w:jc w:val="center"/>
            </w:pPr>
            <w:r>
              <w:rPr>
                <w:rFonts w:ascii="Arial" w:hAnsi="Arial"/>
                <w:b/>
                <w:color w:val="FFFFFF"/>
                <w:sz w:val="18"/>
              </w:rPr>
              <w:t>Año 1</w:t>
            </w:r>
          </w:p>
        </w:tc>
        <w:tc>
          <w:tcPr>
            <w:tcW w:type="dxa" w:w="2160"/>
            <w:vAlign w:val="center"/>
            <w:shd w:val="clear" w:color="auto" w:fill="1F3864"/>
            <w:tcMar>
              <w:top w:w="80" w:type="dxa"/>
              <w:bottom w:w="80" w:type="dxa"/>
              <w:left w:w="120" w:type="dxa"/>
              <w:right w:w="120" w:type="dxa"/>
            </w:tcMar>
            <w:tcW w:w="2160" w:type="dxa"/>
          </w:tcPr>
          <w:p>
            <w:pPr>
              <w:jc w:val="center"/>
            </w:pPr>
            <w:r>
              <w:rPr>
                <w:rFonts w:ascii="Arial" w:hAnsi="Arial"/>
                <w:b/>
                <w:color w:val="FFFFFF"/>
                <w:sz w:val="18"/>
              </w:rPr>
              <w:t>Año 2</w:t>
            </w:r>
          </w:p>
        </w:tc>
        <w:tc>
          <w:tcPr>
            <w:tcW w:type="dxa" w:w="2160"/>
            <w:vAlign w:val="center"/>
            <w:shd w:val="clear" w:color="auto" w:fill="1F3864"/>
            <w:tcMar>
              <w:top w:w="80" w:type="dxa"/>
              <w:bottom w:w="80" w:type="dxa"/>
              <w:left w:w="120" w:type="dxa"/>
              <w:right w:w="120" w:type="dxa"/>
            </w:tcMar>
            <w:tcW w:w="2736" w:type="dxa"/>
          </w:tcPr>
          <w:p>
            <w:pPr>
              <w:jc w:val="center"/>
            </w:pPr>
            <w:r>
              <w:rPr>
                <w:rFonts w:ascii="Arial" w:hAnsi="Arial"/>
                <w:b/>
                <w:color w:val="FFFFFF"/>
                <w:sz w:val="18"/>
              </w:rPr>
              <w:t>Año 3</w:t>
            </w:r>
          </w:p>
        </w:tc>
      </w:tr>
      <w:tr>
        <w:tc>
          <w:tcPr>
            <w:tcW w:type="dxa" w:w="2160"/>
            <w:vAlign w:val="center"/>
            <w:shd w:val="clear" w:color="auto" w:fill="F2F2F2"/>
            <w:tcMar>
              <w:top w:w="80" w:type="dxa"/>
              <w:bottom w:w="80" w:type="dxa"/>
              <w:left w:w="120" w:type="dxa"/>
              <w:right w:w="120" w:type="dxa"/>
            </w:tcMar>
            <w:tcW w:w="3600" w:type="dxa"/>
          </w:tcPr>
          <w:p>
            <w:pPr>
              <w:jc w:val="left"/>
            </w:pPr>
            <w:r>
              <w:rPr>
                <w:rFonts w:ascii="Arial" w:hAnsi="Arial"/>
                <w:b w:val="0"/>
                <w:sz w:val="18"/>
              </w:rPr>
              <w:t>Ha al inicio del año</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0 ha</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80 ha</w:t>
            </w:r>
          </w:p>
        </w:tc>
        <w:tc>
          <w:tcPr>
            <w:tcW w:type="dxa" w:w="2160"/>
            <w:vAlign w:val="center"/>
            <w:shd w:val="clear" w:color="auto" w:fill="F2F2F2"/>
            <w:tcMar>
              <w:top w:w="80" w:type="dxa"/>
              <w:bottom w:w="80" w:type="dxa"/>
              <w:left w:w="120" w:type="dxa"/>
              <w:right w:w="120" w:type="dxa"/>
            </w:tcMar>
            <w:tcW w:w="2736" w:type="dxa"/>
          </w:tcPr>
          <w:p>
            <w:pPr>
              <w:jc w:val="left"/>
            </w:pPr>
            <w:r>
              <w:rPr>
                <w:rFonts w:ascii="Arial" w:hAnsi="Arial"/>
                <w:b w:val="0"/>
                <w:sz w:val="18"/>
              </w:rPr>
              <w:t>400 ha</w:t>
            </w:r>
          </w:p>
        </w:tc>
      </w:tr>
      <w:tr>
        <w:tc>
          <w:tcPr>
            <w:tcW w:type="dxa" w:w="2160"/>
            <w:vAlign w:val="center"/>
            <w:shd w:val="clear" w:color="auto" w:fill="FFFFFF"/>
            <w:tcMar>
              <w:top w:w="80" w:type="dxa"/>
              <w:bottom w:w="80" w:type="dxa"/>
              <w:left w:w="120" w:type="dxa"/>
              <w:right w:w="120" w:type="dxa"/>
            </w:tcMar>
            <w:tcW w:w="3600" w:type="dxa"/>
          </w:tcPr>
          <w:p>
            <w:pPr>
              <w:jc w:val="left"/>
            </w:pPr>
            <w:r>
              <w:rPr>
                <w:rFonts w:ascii="Arial" w:hAnsi="Arial"/>
                <w:b w:val="0"/>
                <w:sz w:val="18"/>
              </w:rPr>
              <w:t>Ha al final del año</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80 ha</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400 ha</w:t>
            </w:r>
          </w:p>
        </w:tc>
        <w:tc>
          <w:tcPr>
            <w:tcW w:type="dxa" w:w="2160"/>
            <w:vAlign w:val="center"/>
            <w:shd w:val="clear" w:color="auto" w:fill="FFFFFF"/>
            <w:tcMar>
              <w:top w:w="80" w:type="dxa"/>
              <w:bottom w:w="80" w:type="dxa"/>
              <w:left w:w="120" w:type="dxa"/>
              <w:right w:w="120" w:type="dxa"/>
            </w:tcMar>
            <w:tcW w:w="2736" w:type="dxa"/>
          </w:tcPr>
          <w:p>
            <w:pPr>
              <w:jc w:val="left"/>
            </w:pPr>
            <w:r>
              <w:rPr>
                <w:rFonts w:ascii="Arial" w:hAnsi="Arial"/>
                <w:b w:val="0"/>
                <w:sz w:val="18"/>
              </w:rPr>
              <w:t>1,500 ha</w:t>
            </w:r>
          </w:p>
        </w:tc>
      </w:tr>
      <w:tr>
        <w:tc>
          <w:tcPr>
            <w:tcW w:type="dxa" w:w="2160"/>
            <w:vAlign w:val="center"/>
            <w:shd w:val="clear" w:color="auto" w:fill="F2F2F2"/>
            <w:tcMar>
              <w:top w:w="80" w:type="dxa"/>
              <w:bottom w:w="80" w:type="dxa"/>
              <w:left w:w="120" w:type="dxa"/>
              <w:right w:w="120" w:type="dxa"/>
            </w:tcMar>
            <w:tcW w:w="3600" w:type="dxa"/>
          </w:tcPr>
          <w:p>
            <w:pPr>
              <w:jc w:val="left"/>
            </w:pPr>
            <w:r>
              <w:rPr>
                <w:rFonts w:ascii="Arial" w:hAnsi="Arial"/>
                <w:b w:val="0"/>
                <w:sz w:val="18"/>
              </w:rPr>
              <w:t>Ha promedio ponderadas</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~40 ha</w:t>
            </w:r>
          </w:p>
        </w:tc>
        <w:tc>
          <w:tcPr>
            <w:tcW w:type="dxa" w:w="2160"/>
            <w:vAlign w:val="center"/>
            <w:shd w:val="clear" w:color="auto" w:fill="F2F2F2"/>
            <w:tcMar>
              <w:top w:w="80" w:type="dxa"/>
              <w:bottom w:w="80" w:type="dxa"/>
              <w:left w:w="120" w:type="dxa"/>
              <w:right w:w="120" w:type="dxa"/>
            </w:tcMar>
            <w:tcW w:w="2160" w:type="dxa"/>
          </w:tcPr>
          <w:p>
            <w:pPr>
              <w:jc w:val="left"/>
            </w:pPr>
            <w:r>
              <w:rPr>
                <w:rFonts w:ascii="Arial" w:hAnsi="Arial"/>
                <w:b w:val="0"/>
                <w:sz w:val="18"/>
              </w:rPr>
              <w:t>~240 ha</w:t>
            </w:r>
          </w:p>
        </w:tc>
        <w:tc>
          <w:tcPr>
            <w:tcW w:type="dxa" w:w="2160"/>
            <w:vAlign w:val="center"/>
            <w:shd w:val="clear" w:color="auto" w:fill="F2F2F2"/>
            <w:tcMar>
              <w:top w:w="80" w:type="dxa"/>
              <w:bottom w:w="80" w:type="dxa"/>
              <w:left w:w="120" w:type="dxa"/>
              <w:right w:w="120" w:type="dxa"/>
            </w:tcMar>
            <w:tcW w:w="2736" w:type="dxa"/>
          </w:tcPr>
          <w:p>
            <w:pPr>
              <w:jc w:val="left"/>
            </w:pPr>
            <w:r>
              <w:rPr>
                <w:rFonts w:ascii="Arial" w:hAnsi="Arial"/>
                <w:b w:val="0"/>
                <w:sz w:val="18"/>
              </w:rPr>
              <w:t>~950 ha</w:t>
            </w:r>
          </w:p>
        </w:tc>
      </w:tr>
      <w:tr>
        <w:tc>
          <w:tcPr>
            <w:tcW w:type="dxa" w:w="2160"/>
            <w:vAlign w:val="center"/>
            <w:shd w:val="clear" w:color="auto" w:fill="FFFFFF"/>
            <w:tcMar>
              <w:top w:w="80" w:type="dxa"/>
              <w:bottom w:w="80" w:type="dxa"/>
              <w:left w:w="120" w:type="dxa"/>
              <w:right w:w="120" w:type="dxa"/>
            </w:tcMar>
            <w:tcW w:w="3600" w:type="dxa"/>
          </w:tcPr>
          <w:p>
            <w:pPr>
              <w:jc w:val="left"/>
            </w:pPr>
            <w:r>
              <w:rPr>
                <w:rFonts w:ascii="Arial" w:hAnsi="Arial"/>
                <w:b w:val="0"/>
                <w:sz w:val="18"/>
              </w:rPr>
              <w:t>Tarifa promedio aplicada</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$1,600/ha (1 ciclo, piloto)</w:t>
            </w:r>
          </w:p>
        </w:tc>
        <w:tc>
          <w:tcPr>
            <w:tcW w:type="dxa" w:w="2160"/>
            <w:vAlign w:val="center"/>
            <w:shd w:val="clear" w:color="auto" w:fill="FFFFFF"/>
            <w:tcMar>
              <w:top w:w="80" w:type="dxa"/>
              <w:bottom w:w="80" w:type="dxa"/>
              <w:left w:w="120" w:type="dxa"/>
              <w:right w:w="120" w:type="dxa"/>
            </w:tcMar>
            <w:tcW w:w="2160" w:type="dxa"/>
          </w:tcPr>
          <w:p>
            <w:pPr>
              <w:jc w:val="left"/>
            </w:pPr>
            <w:r>
              <w:rPr>
                <w:rFonts w:ascii="Arial" w:hAnsi="Arial"/>
                <w:b w:val="0"/>
                <w:sz w:val="18"/>
              </w:rPr>
              <w:t>$2,000/ha (~1.5 ciclos)</w:t>
            </w:r>
          </w:p>
        </w:tc>
        <w:tc>
          <w:tcPr>
            <w:tcW w:type="dxa" w:w="2160"/>
            <w:vAlign w:val="center"/>
            <w:shd w:val="clear" w:color="auto" w:fill="FFFFFF"/>
            <w:tcMar>
              <w:top w:w="80" w:type="dxa"/>
              <w:bottom w:w="80" w:type="dxa"/>
              <w:left w:w="120" w:type="dxa"/>
              <w:right w:w="120" w:type="dxa"/>
            </w:tcMar>
            <w:tcW w:w="2736" w:type="dxa"/>
          </w:tcPr>
          <w:p>
            <w:pPr>
              <w:jc w:val="left"/>
            </w:pPr>
            <w:r>
              <w:rPr>
                <w:rFonts w:ascii="Arial" w:hAnsi="Arial"/>
                <w:b w:val="0"/>
                <w:sz w:val="18"/>
              </w:rPr>
              <w:t>$2,400/ha (2 ciclos)</w:t>
            </w:r>
          </w:p>
        </w:tc>
      </w:tr>
      <w:tr>
        <w:tc>
          <w:tcPr>
            <w:tcW w:type="dxa" w:w="2160"/>
            <w:vAlign w:val="center"/>
            <w:shd w:val="clear" w:color="auto" w:fill="D5E8F0"/>
            <w:tcMar>
              <w:top w:w="80" w:type="dxa"/>
              <w:bottom w:w="80" w:type="dxa"/>
              <w:left w:w="120" w:type="dxa"/>
              <w:right w:w="120" w:type="dxa"/>
            </w:tcMar>
            <w:tcW w:w="3600" w:type="dxa"/>
          </w:tcPr>
          <w:p>
            <w:pPr>
              <w:jc w:val="left"/>
            </w:pPr>
            <w:r>
              <w:rPr>
                <w:rFonts w:ascii="Arial" w:hAnsi="Arial"/>
                <w:b/>
                <w:sz w:val="18"/>
              </w:rPr>
              <w:t>Ingresos brutos</w:t>
            </w:r>
          </w:p>
        </w:tc>
        <w:tc>
          <w:tcPr>
            <w:tcW w:type="dxa" w:w="2160"/>
            <w:vAlign w:val="center"/>
            <w:shd w:val="clear" w:color="auto" w:fill="D5E8F0"/>
            <w:tcMar>
              <w:top w:w="80" w:type="dxa"/>
              <w:bottom w:w="80" w:type="dxa"/>
              <w:left w:w="120" w:type="dxa"/>
              <w:right w:w="120" w:type="dxa"/>
            </w:tcMar>
            <w:tcW w:w="2160" w:type="dxa"/>
          </w:tcPr>
          <w:p>
            <w:pPr>
              <w:jc w:val="center"/>
            </w:pPr>
            <w:r>
              <w:rPr>
                <w:rFonts w:ascii="Arial" w:hAnsi="Arial"/>
                <w:b/>
                <w:sz w:val="18"/>
              </w:rPr>
              <w:t>$64,000</w:t>
            </w:r>
          </w:p>
        </w:tc>
        <w:tc>
          <w:tcPr>
            <w:tcW w:type="dxa" w:w="2160"/>
            <w:vAlign w:val="center"/>
            <w:shd w:val="clear" w:color="auto" w:fill="D5E8F0"/>
            <w:tcMar>
              <w:top w:w="80" w:type="dxa"/>
              <w:bottom w:w="80" w:type="dxa"/>
              <w:left w:w="120" w:type="dxa"/>
              <w:right w:w="120" w:type="dxa"/>
            </w:tcMar>
            <w:tcW w:w="2160" w:type="dxa"/>
          </w:tcPr>
          <w:p>
            <w:pPr>
              <w:jc w:val="center"/>
            </w:pPr>
            <w:r>
              <w:rPr>
                <w:rFonts w:ascii="Arial" w:hAnsi="Arial"/>
                <w:b/>
                <w:sz w:val="18"/>
              </w:rPr>
              <w:t>$480,000</w:t>
            </w:r>
          </w:p>
        </w:tc>
        <w:tc>
          <w:tcPr>
            <w:tcW w:type="dxa" w:w="2160"/>
            <w:vAlign w:val="center"/>
            <w:shd w:val="clear" w:color="auto" w:fill="D5E8F0"/>
            <w:tcMar>
              <w:top w:w="80" w:type="dxa"/>
              <w:bottom w:w="80" w:type="dxa"/>
              <w:left w:w="120" w:type="dxa"/>
              <w:right w:w="120" w:type="dxa"/>
            </w:tcMar>
            <w:tcW w:w="2736" w:type="dxa"/>
          </w:tcPr>
          <w:p>
            <w:pPr>
              <w:jc w:val="center"/>
            </w:pPr>
            <w:r>
              <w:rPr>
                <w:rFonts w:ascii="Arial" w:hAnsi="Arial"/>
                <w:b/>
                <w:sz w:val="18"/>
              </w:rPr>
              <w:t>$1,800,000 (±20%)</w:t>
            </w:r>
          </w:p>
        </w:tc>
      </w:tr>
      <w:tr>
        <w:tc>
          <w:tcPr>
            <w:tcW w:type="dxa" w:w="2160"/>
            <w:vAlign w:val="center"/>
            <w:shd w:val="clear" w:color="auto" w:fill="FFDCE1"/>
            <w:tcMar>
              <w:top w:w="80" w:type="dxa"/>
              <w:bottom w:w="80" w:type="dxa"/>
              <w:left w:w="120" w:type="dxa"/>
              <w:right w:w="120" w:type="dxa"/>
            </w:tcMar>
            <w:tcW w:w="3600" w:type="dxa"/>
          </w:tcPr>
          <w:p>
            <w:pPr>
              <w:jc w:val="left"/>
            </w:pPr>
            <w:r>
              <w:rPr>
                <w:rFonts w:ascii="Arial" w:hAnsi="Arial"/>
                <w:b/>
                <w:sz w:val="18"/>
              </w:rPr>
              <w:t>Costos operativos</w:t>
            </w:r>
          </w:p>
        </w:tc>
        <w:tc>
          <w:tcPr>
            <w:tcW w:type="dxa" w:w="2160"/>
            <w:vAlign w:val="center"/>
            <w:shd w:val="clear" w:color="auto" w:fill="FFDCE1"/>
            <w:tcMar>
              <w:top w:w="80" w:type="dxa"/>
              <w:bottom w:w="80" w:type="dxa"/>
              <w:left w:w="120" w:type="dxa"/>
              <w:right w:w="120" w:type="dxa"/>
            </w:tcMar>
            <w:tcW w:w="2160" w:type="dxa"/>
          </w:tcPr>
          <w:p>
            <w:pPr>
              <w:jc w:val="center"/>
            </w:pPr>
            <w:r>
              <w:rPr>
                <w:rFonts w:ascii="Arial" w:hAnsi="Arial"/>
                <w:b/>
                <w:sz w:val="18"/>
              </w:rPr>
              <w:t>$700,000</w:t>
            </w:r>
          </w:p>
        </w:tc>
        <w:tc>
          <w:tcPr>
            <w:tcW w:type="dxa" w:w="2160"/>
            <w:vAlign w:val="center"/>
            <w:shd w:val="clear" w:color="auto" w:fill="FFDCE1"/>
            <w:tcMar>
              <w:top w:w="80" w:type="dxa"/>
              <w:bottom w:w="80" w:type="dxa"/>
              <w:left w:w="120" w:type="dxa"/>
              <w:right w:w="120" w:type="dxa"/>
            </w:tcMar>
            <w:tcW w:w="2160" w:type="dxa"/>
          </w:tcPr>
          <w:p>
            <w:pPr>
              <w:jc w:val="center"/>
            </w:pPr>
            <w:r>
              <w:rPr>
                <w:rFonts w:ascii="Arial" w:hAnsi="Arial"/>
                <w:b/>
                <w:sz w:val="18"/>
              </w:rPr>
              <w:t>$1,200,000</w:t>
            </w:r>
          </w:p>
        </w:tc>
        <w:tc>
          <w:tcPr>
            <w:tcW w:type="dxa" w:w="2160"/>
            <w:vAlign w:val="center"/>
            <w:shd w:val="clear" w:color="auto" w:fill="FFDCE1"/>
            <w:tcMar>
              <w:top w:w="80" w:type="dxa"/>
              <w:bottom w:w="80" w:type="dxa"/>
              <w:left w:w="120" w:type="dxa"/>
              <w:right w:w="120" w:type="dxa"/>
            </w:tcMar>
            <w:tcW w:w="2736" w:type="dxa"/>
          </w:tcPr>
          <w:p>
            <w:pPr>
              <w:jc w:val="center"/>
            </w:pPr>
            <w:r>
              <w:rPr>
                <w:rFonts w:ascii="Arial" w:hAnsi="Arial"/>
                <w:b/>
                <w:sz w:val="18"/>
              </w:rPr>
              <w:t>$1,700,000</w:t>
            </w:r>
          </w:p>
        </w:tc>
      </w:tr>
      <w:tr>
        <w:tc>
          <w:tcPr>
            <w:tcW w:type="dxa" w:w="2160"/>
            <w:vAlign w:val="center"/>
            <w:shd w:val="clear" w:color="auto" w:fill="FFDCE1"/>
            <w:tcMar>
              <w:top w:w="80" w:type="dxa"/>
              <w:bottom w:w="80" w:type="dxa"/>
              <w:left w:w="120" w:type="dxa"/>
              <w:right w:w="120" w:type="dxa"/>
            </w:tcMar>
            <w:tcW w:w="3600" w:type="dxa"/>
          </w:tcPr>
          <w:p>
            <w:pPr>
              <w:jc w:val="left"/>
            </w:pPr>
            <w:r>
              <w:rPr>
                <w:rFonts w:ascii="Arial" w:hAnsi="Arial"/>
                <w:b/>
                <w:sz w:val="18"/>
              </w:rPr>
              <w:t>Flujo Neto del Ejercicio</w:t>
            </w:r>
          </w:p>
        </w:tc>
        <w:tc>
          <w:tcPr>
            <w:tcW w:type="dxa" w:w="2160"/>
            <w:vAlign w:val="center"/>
            <w:shd w:val="clear" w:color="auto" w:fill="FFDCE1"/>
            <w:tcMar>
              <w:top w:w="80" w:type="dxa"/>
              <w:bottom w:w="80" w:type="dxa"/>
              <w:left w:w="120" w:type="dxa"/>
              <w:right w:w="120" w:type="dxa"/>
            </w:tcMar>
            <w:tcW w:w="2160" w:type="dxa"/>
          </w:tcPr>
          <w:p>
            <w:pPr>
              <w:jc w:val="center"/>
            </w:pPr>
            <w:r>
              <w:rPr>
                <w:rFonts w:ascii="Arial" w:hAnsi="Arial"/>
                <w:b/>
                <w:sz w:val="18"/>
              </w:rPr>
              <w:t>−$636,000</w:t>
            </w:r>
          </w:p>
        </w:tc>
        <w:tc>
          <w:tcPr>
            <w:tcW w:type="dxa" w:w="2160"/>
            <w:vAlign w:val="center"/>
            <w:shd w:val="clear" w:color="auto" w:fill="FFDCE1"/>
            <w:tcMar>
              <w:top w:w="80" w:type="dxa"/>
              <w:bottom w:w="80" w:type="dxa"/>
              <w:left w:w="120" w:type="dxa"/>
              <w:right w:w="120" w:type="dxa"/>
            </w:tcMar>
            <w:tcW w:w="2160" w:type="dxa"/>
          </w:tcPr>
          <w:p>
            <w:pPr>
              <w:jc w:val="center"/>
            </w:pPr>
            <w:r>
              <w:rPr>
                <w:rFonts w:ascii="Arial" w:hAnsi="Arial"/>
                <w:b/>
                <w:sz w:val="18"/>
              </w:rPr>
              <w:t>−$720,000</w:t>
            </w:r>
          </w:p>
        </w:tc>
        <w:tc>
          <w:tcPr>
            <w:tcW w:type="dxa" w:w="2160"/>
            <w:vAlign w:val="center"/>
            <w:shd w:val="clear" w:color="auto" w:fill="FFF2CC"/>
            <w:tcMar>
              <w:top w:w="80" w:type="dxa"/>
              <w:bottom w:w="80" w:type="dxa"/>
              <w:left w:w="120" w:type="dxa"/>
              <w:right w:w="120" w:type="dxa"/>
            </w:tcMar>
            <w:tcW w:w="2736" w:type="dxa"/>
          </w:tcPr>
          <w:p>
            <w:pPr>
              <w:jc w:val="center"/>
            </w:pPr>
            <w:r>
              <w:rPr>
                <w:rFonts w:ascii="Arial" w:hAnsi="Arial"/>
                <w:b/>
                <w:sz w:val="18"/>
              </w:rPr>
              <w:t>+$100,000 (±$360,000)</w:t>
            </w:r>
          </w:p>
        </w:tc>
      </w:tr>
      <w:tr>
        <w:tc>
          <w:tcPr>
            <w:tcW w:type="dxa" w:w="2160"/>
            <w:vAlign w:val="center"/>
            <w:shd w:val="clear" w:color="auto" w:fill="FFDCE1"/>
            <w:tcMar>
              <w:top w:w="80" w:type="dxa"/>
              <w:bottom w:w="80" w:type="dxa"/>
              <w:left w:w="120" w:type="dxa"/>
              <w:right w:w="120" w:type="dxa"/>
            </w:tcMar>
            <w:tcW w:w="3600" w:type="dxa"/>
          </w:tcPr>
          <w:p>
            <w:pPr>
              <w:jc w:val="left"/>
            </w:pPr>
            <w:r>
              <w:rPr>
                <w:rFonts w:ascii="Arial" w:hAnsi="Arial"/>
                <w:b/>
                <w:sz w:val="18"/>
              </w:rPr>
              <w:t>Flujo Acumulado (sin CAPEX)</w:t>
            </w:r>
          </w:p>
        </w:tc>
        <w:tc>
          <w:tcPr>
            <w:tcW w:type="dxa" w:w="2160"/>
            <w:vAlign w:val="center"/>
            <w:shd w:val="clear" w:color="auto" w:fill="FFDCE1"/>
            <w:tcMar>
              <w:top w:w="80" w:type="dxa"/>
              <w:bottom w:w="80" w:type="dxa"/>
              <w:left w:w="120" w:type="dxa"/>
              <w:right w:w="120" w:type="dxa"/>
            </w:tcMar>
            <w:tcW w:w="2160" w:type="dxa"/>
          </w:tcPr>
          <w:p>
            <w:pPr>
              <w:jc w:val="center"/>
            </w:pPr>
            <w:r>
              <w:rPr>
                <w:rFonts w:ascii="Arial" w:hAnsi="Arial"/>
                <w:b w:val="0"/>
                <w:sz w:val="18"/>
              </w:rPr>
              <w:t>−$636,000</w:t>
            </w:r>
          </w:p>
        </w:tc>
        <w:tc>
          <w:tcPr>
            <w:tcW w:type="dxa" w:w="2160"/>
            <w:vAlign w:val="center"/>
            <w:shd w:val="clear" w:color="auto" w:fill="FFDCE1"/>
            <w:tcMar>
              <w:top w:w="80" w:type="dxa"/>
              <w:bottom w:w="80" w:type="dxa"/>
              <w:left w:w="120" w:type="dxa"/>
              <w:right w:w="120" w:type="dxa"/>
            </w:tcMar>
            <w:tcW w:w="2160" w:type="dxa"/>
          </w:tcPr>
          <w:p>
            <w:pPr>
              <w:jc w:val="center"/>
            </w:pPr>
            <w:r>
              <w:rPr>
                <w:rFonts w:ascii="Arial" w:hAnsi="Arial"/>
                <w:b w:val="0"/>
                <w:sz w:val="18"/>
              </w:rPr>
              <w:t>−$1,356,000</w:t>
            </w:r>
          </w:p>
        </w:tc>
        <w:tc>
          <w:tcPr>
            <w:tcW w:type="dxa" w:w="2160"/>
            <w:vAlign w:val="center"/>
            <w:shd w:val="clear" w:color="auto" w:fill="FFF2CC"/>
            <w:tcMar>
              <w:top w:w="80" w:type="dxa"/>
              <w:bottom w:w="80" w:type="dxa"/>
              <w:left w:w="120" w:type="dxa"/>
              <w:right w:w="120" w:type="dxa"/>
            </w:tcMar>
            <w:tcW w:w="2736" w:type="dxa"/>
          </w:tcPr>
          <w:p>
            <w:pPr>
              <w:jc w:val="center"/>
            </w:pPr>
            <w:r>
              <w:rPr>
                <w:rFonts w:ascii="Arial" w:hAnsi="Arial"/>
                <w:b w:val="0"/>
                <w:sz w:val="18"/>
              </w:rPr>
              <w:t>−$1,256,000</w:t>
            </w:r>
          </w:p>
        </w:tc>
      </w:tr>
    </w:tbl>
    <w:p>
      <w:pPr>
        <w:spacing w:before="40" w:after="160"/>
        <w:jc w:val="center"/>
      </w:pPr>
      <w:r>
        <w:rPr>
          <w:rFonts w:ascii="Arial" w:hAnsi="Arial"/>
          <w:i/>
          <w:color w:val="606060"/>
          <w:sz w:val="18"/>
        </w:rPr>
        <w:t>Tabla 7.3: Proyección de ingresos revisada — Modelo SaaS (MXN). El flujo acumulado sigue siendo negativo al final del Año 3: esto es esperado y estructural en SaaS con adopción lenta.</w:t>
      </w:r>
    </w:p>
    <w:p>
      <w:pPr>
        <w:spacing w:after="40"/>
      </w:pPr>
    </w:p>
    <w:p>
      <w:pPr>
        <w:pStyle w:val="Heading2"/>
      </w:pPr>
      <w:r>
        <w:rPr>
          <w:rFonts w:ascii="Arial" w:hAnsi="Arial"/>
          <w:color w:val="2E75B6"/>
          <w:sz w:val="26"/>
        </w:rPr>
        <w:t>7.4 Punto de Equilibrio</w:t>
      </w:r>
    </w:p>
    <w:p>
      <w:pPr>
        <w:spacing w:after="120"/>
        <w:jc w:val="left"/>
      </w:pPr>
      <w:r>
        <w:rPr>
          <w:rFonts w:ascii="Arial" w:hAnsi="Arial"/>
          <w:b w:val="0"/>
          <w:i w:val="0"/>
          <w:sz w:val="22"/>
        </w:rPr>
        <w:t>Con una tarifa de $1,200 MXN/ha/año (2 ciclos) y OPEX de $1,700,000 MXN en Año 3, el punto de equilibrio operativo anual requiere 1,417 ha bajo gestión. La meta de 1,500 ha al final del Año 3 supera ese umbral por un margen del 5.8% — margen estrecho que no absorbe una desviación significativa en la tasa de adopción.</w:t>
      </w:r>
    </w:p>
    <w:p>
      <w:pPr>
        <w:spacing w:before="80" w:after="160"/>
        <w:ind w:left="216"/>
        <w:shd w:val="clear" w:color="auto" w:fill="FFDCE1"/>
        <w:pBdr>
          <w:left w:val="single" w:sz="18" w:space="4" w:color="C0392B"/>
        </w:pBdr>
      </w:pPr>
      <w:r>
        <w:rPr>
          <w:rFonts w:ascii="Arial" w:hAnsi="Arial"/>
          <w:i/>
          <w:color w:val="333333"/>
          <w:sz w:val="20"/>
        </w:rPr>
        <w:t>Punto de equilibrio Año 1: requiere 583 ha (de 80 proyectadas). El déficit de $636,000 MXN NO está cubierto solo con el CAPEX de $450,000. Se requieren ~$186,000 MXN adicionales de financiamiento externo (CONAHCYT o capital semilla) para completar el Año 1 sin insolvencia.</w:t>
      </w:r>
    </w:p>
    <w:p>
      <w:pPr>
        <w:spacing w:after="40"/>
      </w:pPr>
    </w:p>
    <w:p>
      <w:pPr>
        <w:pStyle w:val="Heading2"/>
      </w:pPr>
      <w:r>
        <w:rPr>
          <w:rFonts w:ascii="Arial" w:hAnsi="Arial"/>
          <w:color w:val="2E75B6"/>
          <w:sz w:val="26"/>
        </w:rPr>
        <w:t>7.5 VAN y TIR — Análisis a 5 Años</w:t>
      </w:r>
    </w:p>
    <w:p>
      <w:pPr>
        <w:spacing w:after="120"/>
        <w:jc w:val="left"/>
      </w:pPr>
      <w:r>
        <w:rPr>
          <w:rFonts w:ascii="Arial" w:hAnsi="Arial"/>
          <w:b w:val="0"/>
          <w:i w:val="0"/>
          <w:sz w:val="22"/>
        </w:rPr>
        <w:t>El modelo de flujos a 3 años genera un VAN negativo de −$1,521,000 MXN al WACC de 12%. Esto no implica que el proyecto sea inviable — implica que el horizonte de recuperación de una SaaS agrícola es mayor a 3 años. El análisis a 5 años, incorporando escala de Año 4 (3,000 ha → +$1,600,000 MXN neto) y Año 5 (4,500 ha → +$3,000,000 MXN neto), genera un VAN positivo.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3864"/>
            <w:tcMar>
              <w:top w:w="80" w:type="dxa"/>
              <w:bottom w:w="80" w:type="dxa"/>
              <w:left w:w="120" w:type="dxa"/>
              <w:right w:w="120" w:type="dxa"/>
            </w:tcMar>
            <w:tcW w:w="2592" w:type="dxa"/>
          </w:tcPr>
          <w:p>
            <w:pPr>
              <w:jc w:val="center"/>
            </w:pPr>
            <w:r>
              <w:rPr>
                <w:rFonts w:ascii="Arial" w:hAnsi="Arial"/>
                <w:b/>
                <w:color w:val="FFFFFF"/>
                <w:sz w:val="18"/>
              </w:rPr>
              <w:t>Período</w:t>
            </w:r>
          </w:p>
        </w:tc>
        <w:tc>
          <w:tcPr>
            <w:tcW w:type="dxa" w:w="2160"/>
            <w:vAlign w:val="center"/>
            <w:shd w:val="clear" w:color="auto" w:fill="1F3864"/>
            <w:tcMar>
              <w:top w:w="80" w:type="dxa"/>
              <w:bottom w:w="80" w:type="dxa"/>
              <w:left w:w="120" w:type="dxa"/>
              <w:right w:w="120" w:type="dxa"/>
            </w:tcMar>
            <w:tcW w:w="2592" w:type="dxa"/>
          </w:tcPr>
          <w:p>
            <w:pPr>
              <w:jc w:val="center"/>
            </w:pPr>
            <w:r>
              <w:rPr>
                <w:rFonts w:ascii="Arial" w:hAnsi="Arial"/>
                <w:b/>
                <w:color w:val="FFFFFF"/>
                <w:sz w:val="18"/>
              </w:rPr>
              <w:t>Flujo de Caja (MXN)</w:t>
            </w:r>
          </w:p>
        </w:tc>
        <w:tc>
          <w:tcPr>
            <w:tcW w:type="dxa" w:w="2160"/>
            <w:vAlign w:val="center"/>
            <w:shd w:val="clear" w:color="auto" w:fill="1F3864"/>
            <w:tcMar>
              <w:top w:w="80" w:type="dxa"/>
              <w:bottom w:w="80" w:type="dxa"/>
              <w:left w:w="120" w:type="dxa"/>
              <w:right w:w="120" w:type="dxa"/>
            </w:tcMar>
            <w:tcW w:w="2592" w:type="dxa"/>
          </w:tcPr>
          <w:p>
            <w:pPr>
              <w:jc w:val="center"/>
            </w:pPr>
            <w:r>
              <w:rPr>
                <w:rFonts w:ascii="Arial" w:hAnsi="Arial"/>
                <w:b/>
                <w:color w:val="FFFFFF"/>
                <w:sz w:val="18"/>
              </w:rPr>
              <w:t>Factor Desc. (12%)</w:t>
            </w:r>
          </w:p>
        </w:tc>
        <w:tc>
          <w:tcPr>
            <w:tcW w:type="dxa" w:w="2160"/>
            <w:vAlign w:val="center"/>
            <w:shd w:val="clear" w:color="auto" w:fill="1F3864"/>
            <w:tcMar>
              <w:top w:w="80" w:type="dxa"/>
              <w:bottom w:w="80" w:type="dxa"/>
              <w:left w:w="120" w:type="dxa"/>
              <w:right w:w="120" w:type="dxa"/>
            </w:tcMar>
            <w:tcW w:w="2880" w:type="dxa"/>
          </w:tcPr>
          <w:p>
            <w:pPr>
              <w:jc w:val="center"/>
            </w:pPr>
            <w:r>
              <w:rPr>
                <w:rFonts w:ascii="Arial" w:hAnsi="Arial"/>
                <w:b/>
                <w:color w:val="FFFFFF"/>
                <w:sz w:val="18"/>
              </w:rPr>
              <w:t>Valor Presente (MXN)</w:t>
            </w:r>
          </w:p>
        </w:tc>
      </w:tr>
      <w:tr>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Año 0 (CAPEX)</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−$450,000</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1.0000</w:t>
            </w:r>
          </w:p>
        </w:tc>
        <w:tc>
          <w:tcPr>
            <w:tcW w:type="dxa" w:w="2160"/>
            <w:vAlign w:val="center"/>
            <w:shd w:val="clear" w:color="auto" w:fill="F2F2F2"/>
            <w:tcMar>
              <w:top w:w="80" w:type="dxa"/>
              <w:bottom w:w="80" w:type="dxa"/>
              <w:left w:w="120" w:type="dxa"/>
              <w:right w:w="120" w:type="dxa"/>
            </w:tcMar>
            <w:tcW w:w="2880" w:type="dxa"/>
          </w:tcPr>
          <w:p>
            <w:pPr>
              <w:jc w:val="left"/>
            </w:pPr>
            <w:r>
              <w:rPr>
                <w:rFonts w:ascii="Arial" w:hAnsi="Arial"/>
                <w:b w:val="0"/>
                <w:sz w:val="18"/>
              </w:rPr>
              <w:t>−$450,000</w:t>
            </w:r>
          </w:p>
        </w:tc>
      </w:tr>
      <w:tr>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Año 1</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−$636,000</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0.8929</w:t>
            </w:r>
          </w:p>
        </w:tc>
        <w:tc>
          <w:tcPr>
            <w:tcW w:type="dxa" w:w="2160"/>
            <w:vAlign w:val="center"/>
            <w:shd w:val="clear" w:color="auto" w:fill="FFFFFF"/>
            <w:tcMar>
              <w:top w:w="80" w:type="dxa"/>
              <w:bottom w:w="80" w:type="dxa"/>
              <w:left w:w="120" w:type="dxa"/>
              <w:right w:w="120" w:type="dxa"/>
            </w:tcMar>
            <w:tcW w:w="2880" w:type="dxa"/>
          </w:tcPr>
          <w:p>
            <w:pPr>
              <w:jc w:val="left"/>
            </w:pPr>
            <w:r>
              <w:rPr>
                <w:rFonts w:ascii="Arial" w:hAnsi="Arial"/>
                <w:b w:val="0"/>
                <w:sz w:val="18"/>
              </w:rPr>
              <w:t>−$567,857</w:t>
            </w:r>
          </w:p>
        </w:tc>
      </w:tr>
      <w:tr>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Año 2</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−$720,000</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0.7972</w:t>
            </w:r>
          </w:p>
        </w:tc>
        <w:tc>
          <w:tcPr>
            <w:tcW w:type="dxa" w:w="2160"/>
            <w:vAlign w:val="center"/>
            <w:shd w:val="clear" w:color="auto" w:fill="F2F2F2"/>
            <w:tcMar>
              <w:top w:w="80" w:type="dxa"/>
              <w:bottom w:w="80" w:type="dxa"/>
              <w:left w:w="120" w:type="dxa"/>
              <w:right w:w="120" w:type="dxa"/>
            </w:tcMar>
            <w:tcW w:w="2880" w:type="dxa"/>
          </w:tcPr>
          <w:p>
            <w:pPr>
              <w:jc w:val="left"/>
            </w:pPr>
            <w:r>
              <w:rPr>
                <w:rFonts w:ascii="Arial" w:hAnsi="Arial"/>
                <w:b w:val="0"/>
                <w:sz w:val="18"/>
              </w:rPr>
              <w:t>−$573,980</w:t>
            </w:r>
          </w:p>
        </w:tc>
      </w:tr>
      <w:tr>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Año 3</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+$100,000</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0.7118</w:t>
            </w:r>
          </w:p>
        </w:tc>
        <w:tc>
          <w:tcPr>
            <w:tcW w:type="dxa" w:w="2160"/>
            <w:vAlign w:val="center"/>
            <w:shd w:val="clear" w:color="auto" w:fill="FFFFFF"/>
            <w:tcMar>
              <w:top w:w="80" w:type="dxa"/>
              <w:bottom w:w="80" w:type="dxa"/>
              <w:left w:w="120" w:type="dxa"/>
              <w:right w:w="120" w:type="dxa"/>
            </w:tcMar>
            <w:tcW w:w="2880" w:type="dxa"/>
          </w:tcPr>
          <w:p>
            <w:pPr>
              <w:jc w:val="left"/>
            </w:pPr>
            <w:r>
              <w:rPr>
                <w:rFonts w:ascii="Arial" w:hAnsi="Arial"/>
                <w:b w:val="0"/>
                <w:sz w:val="18"/>
              </w:rPr>
              <w:t>+$71,178</w:t>
            </w:r>
          </w:p>
        </w:tc>
      </w:tr>
      <w:tr>
        <w:tc>
          <w:tcPr>
            <w:tcW w:type="dxa" w:w="2160"/>
            <w:vAlign w:val="center"/>
            <w:shd w:val="clear" w:color="auto" w:fill="FFDCE1"/>
            <w:tcMar>
              <w:top w:w="80" w:type="dxa"/>
              <w:bottom w:w="80" w:type="dxa"/>
              <w:left w:w="120" w:type="dxa"/>
              <w:right w:w="120" w:type="dxa"/>
            </w:tcMar>
            <w:tcW w:w="2592" w:type="dxa"/>
          </w:tcPr>
          <w:p>
            <w:pPr>
              <w:jc w:val="left"/>
            </w:pPr>
            <w:r>
              <w:rPr>
                <w:rFonts w:ascii="Arial" w:hAnsi="Arial"/>
                <w:b/>
                <w:sz w:val="18"/>
              </w:rPr>
              <w:t>Subtotal 3 años</w:t>
            </w:r>
          </w:p>
        </w:tc>
        <w:tc>
          <w:tcPr>
            <w:tcW w:type="dxa" w:w="2160"/>
            <w:vAlign w:val="center"/>
            <w:shd w:val="clear" w:color="auto" w:fill="FFDCE1"/>
            <w:tcMar>
              <w:top w:w="80" w:type="dxa"/>
              <w:bottom w:w="80" w:type="dxa"/>
              <w:left w:w="120" w:type="dxa"/>
              <w:right w:w="120" w:type="dxa"/>
            </w:tcMar>
            <w:tcW w:w="2592" w:type="dxa"/>
          </w:tcPr>
          <w:p>
            <w:pPr>
              <w:jc w:val="center"/>
            </w:pPr>
            <w:r>
              <w:rPr>
                <w:rFonts w:ascii="Arial" w:hAnsi="Arial"/>
                <w:b w:val="0"/>
                <w:sz w:val="18"/>
              </w:rPr>
            </w:r>
          </w:p>
        </w:tc>
        <w:tc>
          <w:tcPr>
            <w:tcW w:type="dxa" w:w="2160"/>
            <w:vAlign w:val="center"/>
            <w:shd w:val="clear" w:color="auto" w:fill="FFDCE1"/>
            <w:tcMar>
              <w:top w:w="80" w:type="dxa"/>
              <w:bottom w:w="80" w:type="dxa"/>
              <w:left w:w="120" w:type="dxa"/>
              <w:right w:w="120" w:type="dxa"/>
            </w:tcMar>
            <w:tcW w:w="2592" w:type="dxa"/>
          </w:tcPr>
          <w:p>
            <w:pPr>
              <w:jc w:val="center"/>
            </w:pPr>
            <w:r>
              <w:rPr>
                <w:rFonts w:ascii="Arial" w:hAnsi="Arial"/>
                <w:b w:val="0"/>
                <w:sz w:val="18"/>
              </w:rPr>
            </w:r>
          </w:p>
        </w:tc>
        <w:tc>
          <w:tcPr>
            <w:tcW w:type="dxa" w:w="2160"/>
            <w:vAlign w:val="center"/>
            <w:shd w:val="clear" w:color="auto" w:fill="FFDCE1"/>
            <w:tcMar>
              <w:top w:w="80" w:type="dxa"/>
              <w:bottom w:w="80" w:type="dxa"/>
              <w:left w:w="120" w:type="dxa"/>
              <w:right w:w="120" w:type="dxa"/>
            </w:tcMar>
            <w:tcW w:w="2880" w:type="dxa"/>
          </w:tcPr>
          <w:p>
            <w:pPr>
              <w:jc w:val="center"/>
            </w:pPr>
            <w:r>
              <w:rPr>
                <w:rFonts w:ascii="Arial" w:hAnsi="Arial"/>
                <w:b/>
                <w:sz w:val="18"/>
              </w:rPr>
              <w:t>−$1,520,659 MXN</w:t>
            </w:r>
          </w:p>
        </w:tc>
      </w:tr>
      <w:tr>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Año 4 (3,000 ha)</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+$1,600,000</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0.6355</w:t>
            </w:r>
          </w:p>
        </w:tc>
        <w:tc>
          <w:tcPr>
            <w:tcW w:type="dxa" w:w="2160"/>
            <w:vAlign w:val="center"/>
            <w:shd w:val="clear" w:color="auto" w:fill="FFFFFF"/>
            <w:tcMar>
              <w:top w:w="80" w:type="dxa"/>
              <w:bottom w:w="80" w:type="dxa"/>
              <w:left w:w="120" w:type="dxa"/>
              <w:right w:w="120" w:type="dxa"/>
            </w:tcMar>
            <w:tcW w:w="2880" w:type="dxa"/>
          </w:tcPr>
          <w:p>
            <w:pPr>
              <w:jc w:val="left"/>
            </w:pPr>
            <w:r>
              <w:rPr>
                <w:rFonts w:ascii="Arial" w:hAnsi="Arial"/>
                <w:b w:val="0"/>
                <w:sz w:val="18"/>
              </w:rPr>
              <w:t>+$1,016,882</w:t>
            </w:r>
          </w:p>
        </w:tc>
      </w:tr>
      <w:tr>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Año 5 (4,500 ha)</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+$3,000,000</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0.5674</w:t>
            </w:r>
          </w:p>
        </w:tc>
        <w:tc>
          <w:tcPr>
            <w:tcW w:type="dxa" w:w="2160"/>
            <w:vAlign w:val="center"/>
            <w:shd w:val="clear" w:color="auto" w:fill="F2F2F2"/>
            <w:tcMar>
              <w:top w:w="80" w:type="dxa"/>
              <w:bottom w:w="80" w:type="dxa"/>
              <w:left w:w="120" w:type="dxa"/>
              <w:right w:w="120" w:type="dxa"/>
            </w:tcMar>
            <w:tcW w:w="2880" w:type="dxa"/>
          </w:tcPr>
          <w:p>
            <w:pPr>
              <w:jc w:val="left"/>
            </w:pPr>
            <w:r>
              <w:rPr>
                <w:rFonts w:ascii="Arial" w:hAnsi="Arial"/>
                <w:b w:val="0"/>
                <w:sz w:val="18"/>
              </w:rPr>
              <w:t>+$1,702,712</w:t>
            </w:r>
          </w:p>
        </w:tc>
      </w:tr>
      <w:tr>
        <w:tc>
          <w:tcPr>
            <w:tcW w:type="dxa" w:w="2160"/>
            <w:vAlign w:val="center"/>
            <w:shd w:val="clear" w:color="auto" w:fill="E2EFDA"/>
            <w:tcMar>
              <w:top w:w="80" w:type="dxa"/>
              <w:bottom w:w="80" w:type="dxa"/>
              <w:left w:w="120" w:type="dxa"/>
              <w:right w:w="120" w:type="dxa"/>
            </w:tcMar>
            <w:tcW w:w="2592" w:type="dxa"/>
          </w:tcPr>
          <w:p>
            <w:pPr>
              <w:jc w:val="left"/>
            </w:pPr>
            <w:r>
              <w:rPr>
                <w:rFonts w:ascii="Arial" w:hAnsi="Arial"/>
                <w:b/>
                <w:sz w:val="18"/>
              </w:rPr>
              <w:t>VAN Total 5 años</w:t>
            </w:r>
          </w:p>
        </w:tc>
        <w:tc>
          <w:tcPr>
            <w:tcW w:type="dxa" w:w="2160"/>
            <w:vAlign w:val="center"/>
            <w:shd w:val="clear" w:color="auto" w:fill="E2EFDA"/>
            <w:tcMar>
              <w:top w:w="80" w:type="dxa"/>
              <w:bottom w:w="80" w:type="dxa"/>
              <w:left w:w="120" w:type="dxa"/>
              <w:right w:w="120" w:type="dxa"/>
            </w:tcMar>
            <w:tcW w:w="2592" w:type="dxa"/>
          </w:tcPr>
          <w:p>
            <w:pPr>
              <w:jc w:val="center"/>
            </w:pPr>
            <w:r>
              <w:rPr>
                <w:rFonts w:ascii="Arial" w:hAnsi="Arial"/>
                <w:b w:val="0"/>
                <w:sz w:val="18"/>
              </w:rPr>
            </w:r>
          </w:p>
        </w:tc>
        <w:tc>
          <w:tcPr>
            <w:tcW w:type="dxa" w:w="2160"/>
            <w:vAlign w:val="center"/>
            <w:shd w:val="clear" w:color="auto" w:fill="E2EFDA"/>
            <w:tcMar>
              <w:top w:w="80" w:type="dxa"/>
              <w:bottom w:w="80" w:type="dxa"/>
              <w:left w:w="120" w:type="dxa"/>
              <w:right w:w="120" w:type="dxa"/>
            </w:tcMar>
            <w:tcW w:w="2592" w:type="dxa"/>
          </w:tcPr>
          <w:p>
            <w:pPr>
              <w:jc w:val="center"/>
            </w:pPr>
            <w:r>
              <w:rPr>
                <w:rFonts w:ascii="Arial" w:hAnsi="Arial"/>
                <w:b w:val="0"/>
                <w:sz w:val="18"/>
              </w:rPr>
            </w:r>
          </w:p>
        </w:tc>
        <w:tc>
          <w:tcPr>
            <w:tcW w:type="dxa" w:w="2160"/>
            <w:vAlign w:val="center"/>
            <w:shd w:val="clear" w:color="auto" w:fill="E2EFDA"/>
            <w:tcMar>
              <w:top w:w="80" w:type="dxa"/>
              <w:bottom w:w="80" w:type="dxa"/>
              <w:left w:w="120" w:type="dxa"/>
              <w:right w:w="120" w:type="dxa"/>
            </w:tcMar>
            <w:tcW w:w="2880" w:type="dxa"/>
          </w:tcPr>
          <w:p>
            <w:pPr>
              <w:jc w:val="center"/>
            </w:pPr>
            <w:r>
              <w:rPr>
                <w:rFonts w:ascii="Arial" w:hAnsi="Arial"/>
                <w:b/>
                <w:sz w:val="18"/>
              </w:rPr>
              <w:t>+$1,198,935 MXN</w:t>
            </w:r>
          </w:p>
        </w:tc>
      </w:tr>
    </w:tbl>
    <w:p>
      <w:pPr>
        <w:spacing w:before="40" w:after="160"/>
        <w:jc w:val="center"/>
      </w:pPr>
      <w:r>
        <w:rPr>
          <w:rFonts w:ascii="Arial" w:hAnsi="Arial"/>
          <w:i/>
          <w:color w:val="606060"/>
          <w:sz w:val="18"/>
        </w:rPr>
        <w:t>Tabla 7.4: VAN a 5 años al WACC 12%. El VAN es negativo a 3 años y positivo a 5 años. La TIR estimada es ~31%, calculada sobre el horizonte de 5 años.</w:t>
      </w:r>
    </w:p>
    <w:p>
      <w:pPr>
        <w:spacing w:after="40"/>
      </w:pPr>
    </w:p>
    <w:p>
      <w:pPr>
        <w:spacing w:after="120"/>
        <w:jc w:val="left"/>
      </w:pPr>
      <w:r>
        <w:rPr>
          <w:rFonts w:ascii="Arial" w:hAnsi="Arial"/>
          <w:b w:val="0"/>
          <w:i w:val="0"/>
          <w:sz w:val="22"/>
        </w:rPr>
        <w:t>La TIR de ~31% se obtiene interpolando entre 30% (+$48,500 MXN) y 32% (−$25,900 MXN). Esta cifra es atractiva y creíble para una startup AgTech con barrera de entrada técnica clara. Contrástese con la TIR del 120% de la versión anterior, que era un artefacto del crecimiento exponencial en Año 3, no una predicción realista.</w:t>
      </w:r>
    </w:p>
    <w:p>
      <w:pPr>
        <w:spacing w:before="80" w:after="160"/>
        <w:ind w:left="216"/>
        <w:shd w:val="clear" w:color="auto" w:fill="FFF2CC"/>
        <w:pBdr>
          <w:left w:val="single" w:sz="18" w:space="4" w:color="F0A000"/>
        </w:pBdr>
      </w:pPr>
      <w:r>
        <w:rPr>
          <w:rFonts w:ascii="Arial" w:hAnsi="Arial"/>
          <w:i/>
          <w:color w:val="333333"/>
          <w:sz w:val="20"/>
        </w:rPr>
        <w:t>Análisis de sensibilidad: la TIR es altamente sensible al supuesto de Año 4 (3,000 ha). Si en Año 4 solo se alcanza 2,000 ha (+$1,200,000 neto), la TIR cae a ~22%. Si Año 4 no materializa debido a falta de capital o competencia, el VAN a 5 años puede ser negativo. El proyecto requiere financiamiento para llegar a Año 4 sin insolvencia.</w:t>
      </w:r>
    </w:p>
    <w:p>
      <w:r>
        <w:br w:type="page"/>
      </w:r>
    </w:p>
    <w:p>
      <w:pPr>
        <w:pStyle w:val="Heading1"/>
      </w:pPr>
      <w:r>
        <w:rPr>
          <w:rFonts w:ascii="Arial" w:hAnsi="Arial"/>
          <w:color w:val="1F3864"/>
          <w:sz w:val="32"/>
        </w:rPr>
        <w:t>VIII. Análisis de Riesgos y Escenarios (REVISADO)</w:t>
      </w:r>
    </w:p>
    <w:p>
      <w:pPr>
        <w:pStyle w:val="Heading2"/>
      </w:pPr>
      <w:r>
        <w:rPr>
          <w:rFonts w:ascii="Arial" w:hAnsi="Arial"/>
          <w:color w:val="2E75B6"/>
          <w:sz w:val="26"/>
        </w:rPr>
        <w:t>8.1 Matriz de Riesgos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vAlign w:val="center"/>
            <w:shd w:val="clear" w:color="auto" w:fill="1F3864"/>
            <w:tcMar>
              <w:top w:w="80" w:type="dxa"/>
              <w:bottom w:w="80" w:type="dxa"/>
              <w:left w:w="120" w:type="dxa"/>
              <w:right w:w="120" w:type="dxa"/>
            </w:tcMar>
            <w:tcW w:w="3024" w:type="dxa"/>
          </w:tcPr>
          <w:p>
            <w:pPr>
              <w:jc w:val="center"/>
            </w:pPr>
            <w:r>
              <w:rPr>
                <w:rFonts w:ascii="Arial" w:hAnsi="Arial"/>
                <w:b/>
                <w:color w:val="FFFFFF"/>
                <w:sz w:val="18"/>
              </w:rPr>
              <w:t>Riesgo</w:t>
            </w:r>
          </w:p>
        </w:tc>
        <w:tc>
          <w:tcPr>
            <w:tcW w:type="dxa" w:w="1728"/>
            <w:vAlign w:val="center"/>
            <w:shd w:val="clear" w:color="auto" w:fill="1F3864"/>
            <w:tcMar>
              <w:top w:w="80" w:type="dxa"/>
              <w:bottom w:w="80" w:type="dxa"/>
              <w:left w:w="120" w:type="dxa"/>
              <w:right w:w="120" w:type="dxa"/>
            </w:tcMar>
            <w:tcW w:w="1440" w:type="dxa"/>
          </w:tcPr>
          <w:p>
            <w:pPr>
              <w:jc w:val="center"/>
            </w:pPr>
            <w:r>
              <w:rPr>
                <w:rFonts w:ascii="Arial" w:hAnsi="Arial"/>
                <w:b/>
                <w:color w:val="FFFFFF"/>
                <w:sz w:val="18"/>
              </w:rPr>
              <w:t>Tipo</w:t>
            </w:r>
          </w:p>
        </w:tc>
        <w:tc>
          <w:tcPr>
            <w:tcW w:type="dxa" w:w="1728"/>
            <w:vAlign w:val="center"/>
            <w:shd w:val="clear" w:color="auto" w:fill="1F3864"/>
            <w:tcMar>
              <w:top w:w="80" w:type="dxa"/>
              <w:bottom w:w="80" w:type="dxa"/>
              <w:left w:w="120" w:type="dxa"/>
              <w:right w:w="120" w:type="dxa"/>
            </w:tcMar>
            <w:tcW w:w="1007" w:type="dxa"/>
          </w:tcPr>
          <w:p>
            <w:pPr>
              <w:jc w:val="center"/>
            </w:pPr>
            <w:r>
              <w:rPr>
                <w:rFonts w:ascii="Arial" w:hAnsi="Arial"/>
                <w:b/>
                <w:color w:val="FFFFFF"/>
                <w:sz w:val="18"/>
              </w:rPr>
              <w:t>Prob.</w:t>
            </w:r>
          </w:p>
        </w:tc>
        <w:tc>
          <w:tcPr>
            <w:tcW w:type="dxa" w:w="1728"/>
            <w:vAlign w:val="center"/>
            <w:shd w:val="clear" w:color="auto" w:fill="1F3864"/>
            <w:tcMar>
              <w:top w:w="80" w:type="dxa"/>
              <w:bottom w:w="80" w:type="dxa"/>
              <w:left w:w="120" w:type="dxa"/>
              <w:right w:w="120" w:type="dxa"/>
            </w:tcMar>
            <w:tcW w:w="1152" w:type="dxa"/>
          </w:tcPr>
          <w:p>
            <w:pPr>
              <w:jc w:val="center"/>
            </w:pPr>
            <w:r>
              <w:rPr>
                <w:rFonts w:ascii="Arial" w:hAnsi="Arial"/>
                <w:b/>
                <w:color w:val="FFFFFF"/>
                <w:sz w:val="18"/>
              </w:rPr>
              <w:t>Impacto</w:t>
            </w:r>
          </w:p>
        </w:tc>
        <w:tc>
          <w:tcPr>
            <w:tcW w:type="dxa" w:w="1728"/>
            <w:vAlign w:val="center"/>
            <w:shd w:val="clear" w:color="auto" w:fill="1F3864"/>
            <w:tcMar>
              <w:top w:w="80" w:type="dxa"/>
              <w:bottom w:w="80" w:type="dxa"/>
              <w:left w:w="120" w:type="dxa"/>
              <w:right w:w="120" w:type="dxa"/>
            </w:tcMar>
            <w:tcW w:w="4031" w:type="dxa"/>
          </w:tcPr>
          <w:p>
            <w:pPr>
              <w:jc w:val="center"/>
            </w:pPr>
            <w:r>
              <w:rPr>
                <w:rFonts w:ascii="Arial" w:hAnsi="Arial"/>
                <w:b/>
                <w:color w:val="FFFFFF"/>
                <w:sz w:val="18"/>
              </w:rPr>
              <w:t>Mitigación</w:t>
            </w:r>
          </w:p>
        </w:tc>
      </w:tr>
      <w:tr>
        <w:tc>
          <w:tcPr>
            <w:tcW w:type="dxa" w:w="1728"/>
            <w:vAlign w:val="center"/>
            <w:shd w:val="clear" w:color="auto" w:fill="F2F2F2"/>
            <w:tcMar>
              <w:top w:w="80" w:type="dxa"/>
              <w:bottom w:w="80" w:type="dxa"/>
              <w:left w:w="120" w:type="dxa"/>
              <w:right w:w="120" w:type="dxa"/>
            </w:tcMar>
            <w:tcW w:w="3024" w:type="dxa"/>
          </w:tcPr>
          <w:p>
            <w:pPr>
              <w:jc w:val="left"/>
            </w:pPr>
            <w:r>
              <w:rPr>
                <w:rFonts w:ascii="Arial" w:hAnsi="Arial"/>
                <w:b w:val="0"/>
                <w:sz w:val="18"/>
              </w:rPr>
              <w:t>Baja adopción por resistencia al cambio</w:t>
            </w:r>
          </w:p>
        </w:tc>
        <w:tc>
          <w:tcPr>
            <w:tcW w:type="dxa" w:w="1728"/>
            <w:vAlign w:val="center"/>
            <w:shd w:val="clear" w:color="auto" w:fill="F2F2F2"/>
            <w:tcMar>
              <w:top w:w="80" w:type="dxa"/>
              <w:bottom w:w="80" w:type="dxa"/>
              <w:left w:w="120" w:type="dxa"/>
              <w:right w:w="120" w:type="dxa"/>
            </w:tcMar>
            <w:tcW w:w="1440" w:type="dxa"/>
          </w:tcPr>
          <w:p>
            <w:pPr>
              <w:jc w:val="left"/>
            </w:pPr>
            <w:r>
              <w:rPr>
                <w:rFonts w:ascii="Arial" w:hAnsi="Arial"/>
                <w:b w:val="0"/>
                <w:sz w:val="18"/>
              </w:rPr>
              <w:t>Mercado</w:t>
            </w:r>
          </w:p>
        </w:tc>
        <w:tc>
          <w:tcPr>
            <w:tcW w:type="dxa" w:w="1728"/>
            <w:vAlign w:val="center"/>
            <w:shd w:val="clear" w:color="auto" w:fill="F2F2F2"/>
            <w:tcMar>
              <w:top w:w="80" w:type="dxa"/>
              <w:bottom w:w="80" w:type="dxa"/>
              <w:left w:w="120" w:type="dxa"/>
              <w:right w:w="120" w:type="dxa"/>
            </w:tcMar>
            <w:tcW w:w="1007" w:type="dxa"/>
          </w:tcPr>
          <w:p>
            <w:pPr>
              <w:jc w:val="left"/>
            </w:pPr>
            <w:r>
              <w:rPr>
                <w:rFonts w:ascii="Arial" w:hAnsi="Arial"/>
                <w:b w:val="0"/>
                <w:sz w:val="18"/>
              </w:rPr>
              <w:t>Alta</w:t>
            </w:r>
          </w:p>
        </w:tc>
        <w:tc>
          <w:tcPr>
            <w:tcW w:type="dxa" w:w="1728"/>
            <w:vAlign w:val="center"/>
            <w:shd w:val="clear" w:color="auto" w:fill="F2F2F2"/>
            <w:tcMar>
              <w:top w:w="80" w:type="dxa"/>
              <w:bottom w:w="80" w:type="dxa"/>
              <w:left w:w="120" w:type="dxa"/>
              <w:right w:w="120" w:type="dxa"/>
            </w:tcMar>
            <w:tcW w:w="1152" w:type="dxa"/>
          </w:tcPr>
          <w:p>
            <w:pPr>
              <w:jc w:val="left"/>
            </w:pPr>
            <w:r>
              <w:rPr>
                <w:rFonts w:ascii="Arial" w:hAnsi="Arial"/>
                <w:b w:val="0"/>
                <w:sz w:val="18"/>
              </w:rPr>
              <w:t>Alto</w:t>
            </w:r>
          </w:p>
        </w:tc>
        <w:tc>
          <w:tcPr>
            <w:tcW w:type="dxa" w:w="1728"/>
            <w:vAlign w:val="center"/>
            <w:shd w:val="clear" w:color="auto" w:fill="F2F2F2"/>
            <w:tcMar>
              <w:top w:w="80" w:type="dxa"/>
              <w:bottom w:w="80" w:type="dxa"/>
              <w:left w:w="120" w:type="dxa"/>
              <w:right w:w="120" w:type="dxa"/>
            </w:tcMar>
            <w:tcW w:w="4031" w:type="dxa"/>
          </w:tcPr>
          <w:p>
            <w:pPr>
              <w:jc w:val="left"/>
            </w:pPr>
            <w:r>
              <w:rPr>
                <w:rFonts w:ascii="Arial" w:hAnsi="Arial"/>
                <w:b w:val="0"/>
                <w:sz w:val="18"/>
              </w:rPr>
              <w:t>Promotores en campo (obligatorio, no opcional). Precio piloto = $0 primer ciclo para early adopters.</w:t>
            </w:r>
          </w:p>
        </w:tc>
      </w:tr>
      <w:tr>
        <w:tc>
          <w:tcPr>
            <w:tcW w:type="dxa" w:w="1728"/>
            <w:vAlign w:val="center"/>
            <w:shd w:val="clear" w:color="auto" w:fill="FFFFFF"/>
            <w:tcMar>
              <w:top w:w="80" w:type="dxa"/>
              <w:bottom w:w="80" w:type="dxa"/>
              <w:left w:w="120" w:type="dxa"/>
              <w:right w:w="120" w:type="dxa"/>
            </w:tcMar>
            <w:tcW w:w="3024" w:type="dxa"/>
          </w:tcPr>
          <w:p>
            <w:pPr>
              <w:jc w:val="left"/>
            </w:pPr>
            <w:r>
              <w:rPr>
                <w:rFonts w:ascii="Arial" w:hAnsi="Arial"/>
                <w:b w:val="0"/>
                <w:sz w:val="18"/>
              </w:rPr>
              <w:t>Interrupción / cambio de API NASA POWER</w:t>
            </w:r>
          </w:p>
        </w:tc>
        <w:tc>
          <w:tcPr>
            <w:tcW w:type="dxa" w:w="1728"/>
            <w:vAlign w:val="center"/>
            <w:shd w:val="clear" w:color="auto" w:fill="FFFFFF"/>
            <w:tcMar>
              <w:top w:w="80" w:type="dxa"/>
              <w:bottom w:w="80" w:type="dxa"/>
              <w:left w:w="120" w:type="dxa"/>
              <w:right w:w="120" w:type="dxa"/>
            </w:tcMar>
            <w:tcW w:w="1440" w:type="dxa"/>
          </w:tcPr>
          <w:p>
            <w:pPr>
              <w:jc w:val="left"/>
            </w:pPr>
            <w:r>
              <w:rPr>
                <w:rFonts w:ascii="Arial" w:hAnsi="Arial"/>
                <w:b w:val="0"/>
                <w:sz w:val="18"/>
              </w:rPr>
              <w:t>Tecnológico</w:t>
            </w:r>
          </w:p>
        </w:tc>
        <w:tc>
          <w:tcPr>
            <w:tcW w:type="dxa" w:w="1728"/>
            <w:vAlign w:val="center"/>
            <w:shd w:val="clear" w:color="auto" w:fill="FFFFFF"/>
            <w:tcMar>
              <w:top w:w="80" w:type="dxa"/>
              <w:bottom w:w="80" w:type="dxa"/>
              <w:left w:w="120" w:type="dxa"/>
              <w:right w:w="120" w:type="dxa"/>
            </w:tcMar>
            <w:tcW w:w="1007" w:type="dxa"/>
          </w:tcPr>
          <w:p>
            <w:pPr>
              <w:jc w:val="left"/>
            </w:pPr>
            <w:r>
              <w:rPr>
                <w:rFonts w:ascii="Arial" w:hAnsi="Arial"/>
                <w:b w:val="0"/>
                <w:sz w:val="18"/>
              </w:rPr>
              <w:t>Media</w:t>
            </w:r>
          </w:p>
        </w:tc>
        <w:tc>
          <w:tcPr>
            <w:tcW w:type="dxa" w:w="1728"/>
            <w:vAlign w:val="center"/>
            <w:shd w:val="clear" w:color="auto" w:fill="FFFFFF"/>
            <w:tcMar>
              <w:top w:w="80" w:type="dxa"/>
              <w:bottom w:w="80" w:type="dxa"/>
              <w:left w:w="120" w:type="dxa"/>
              <w:right w:w="120" w:type="dxa"/>
            </w:tcMar>
            <w:tcW w:w="1152" w:type="dxa"/>
          </w:tcPr>
          <w:p>
            <w:pPr>
              <w:jc w:val="left"/>
            </w:pPr>
            <w:r>
              <w:rPr>
                <w:rFonts w:ascii="Arial" w:hAnsi="Arial"/>
                <w:b w:val="0"/>
                <w:sz w:val="18"/>
              </w:rPr>
              <w:t>Medio</w:t>
            </w:r>
          </w:p>
        </w:tc>
        <w:tc>
          <w:tcPr>
            <w:tcW w:type="dxa" w:w="1728"/>
            <w:vAlign w:val="center"/>
            <w:shd w:val="clear" w:color="auto" w:fill="FFFFFF"/>
            <w:tcMar>
              <w:top w:w="80" w:type="dxa"/>
              <w:bottom w:w="80" w:type="dxa"/>
              <w:left w:w="120" w:type="dxa"/>
              <w:right w:w="120" w:type="dxa"/>
            </w:tcMar>
            <w:tcW w:w="4031" w:type="dxa"/>
          </w:tcPr>
          <w:p>
            <w:pPr>
              <w:jc w:val="left"/>
            </w:pPr>
            <w:r>
              <w:rPr>
                <w:rFonts w:ascii="Arial" w:hAnsi="Arial"/>
                <w:b w:val="0"/>
                <w:sz w:val="18"/>
              </w:rPr>
              <w:t>Caché local 30 días + NOAA como fuente alternativa + tests de ingesta automáticos diarios</w:t>
            </w:r>
          </w:p>
        </w:tc>
      </w:tr>
      <w:tr>
        <w:tc>
          <w:tcPr>
            <w:tcW w:type="dxa" w:w="1728"/>
            <w:vAlign w:val="center"/>
            <w:shd w:val="clear" w:color="auto" w:fill="F2F2F2"/>
            <w:tcMar>
              <w:top w:w="80" w:type="dxa"/>
              <w:bottom w:w="80" w:type="dxa"/>
              <w:left w:w="120" w:type="dxa"/>
              <w:right w:w="120" w:type="dxa"/>
            </w:tcMar>
            <w:tcW w:w="3024" w:type="dxa"/>
          </w:tcPr>
          <w:p>
            <w:pPr>
              <w:jc w:val="left"/>
            </w:pPr>
            <w:r>
              <w:rPr>
                <w:rFonts w:ascii="Arial" w:hAnsi="Arial"/>
                <w:b w:val="0"/>
                <w:sz w:val="18"/>
              </w:rPr>
              <w:t>Sobre-ajuste del modelo ML a datos sintéticos</w:t>
            </w:r>
          </w:p>
        </w:tc>
        <w:tc>
          <w:tcPr>
            <w:tcW w:type="dxa" w:w="1728"/>
            <w:vAlign w:val="center"/>
            <w:shd w:val="clear" w:color="auto" w:fill="F2F2F2"/>
            <w:tcMar>
              <w:top w:w="80" w:type="dxa"/>
              <w:bottom w:w="80" w:type="dxa"/>
              <w:left w:w="120" w:type="dxa"/>
              <w:right w:w="120" w:type="dxa"/>
            </w:tcMar>
            <w:tcW w:w="1440" w:type="dxa"/>
          </w:tcPr>
          <w:p>
            <w:pPr>
              <w:jc w:val="left"/>
            </w:pPr>
            <w:r>
              <w:rPr>
                <w:rFonts w:ascii="Arial" w:hAnsi="Arial"/>
                <w:b w:val="0"/>
                <w:sz w:val="18"/>
              </w:rPr>
              <w:t>Tecnológico</w:t>
            </w:r>
          </w:p>
        </w:tc>
        <w:tc>
          <w:tcPr>
            <w:tcW w:type="dxa" w:w="1728"/>
            <w:vAlign w:val="center"/>
            <w:shd w:val="clear" w:color="auto" w:fill="F2F2F2"/>
            <w:tcMar>
              <w:top w:w="80" w:type="dxa"/>
              <w:bottom w:w="80" w:type="dxa"/>
              <w:left w:w="120" w:type="dxa"/>
              <w:right w:w="120" w:type="dxa"/>
            </w:tcMar>
            <w:tcW w:w="1007" w:type="dxa"/>
          </w:tcPr>
          <w:p>
            <w:pPr>
              <w:jc w:val="left"/>
            </w:pPr>
            <w:r>
              <w:rPr>
                <w:rFonts w:ascii="Arial" w:hAnsi="Arial"/>
                <w:b w:val="0"/>
                <w:sz w:val="18"/>
              </w:rPr>
              <w:t>Alta</w:t>
            </w:r>
          </w:p>
        </w:tc>
        <w:tc>
          <w:tcPr>
            <w:tcW w:type="dxa" w:w="1728"/>
            <w:vAlign w:val="center"/>
            <w:shd w:val="clear" w:color="auto" w:fill="F2F2F2"/>
            <w:tcMar>
              <w:top w:w="80" w:type="dxa"/>
              <w:bottom w:w="80" w:type="dxa"/>
              <w:left w:w="120" w:type="dxa"/>
              <w:right w:w="120" w:type="dxa"/>
            </w:tcMar>
            <w:tcW w:w="1152" w:type="dxa"/>
          </w:tcPr>
          <w:p>
            <w:pPr>
              <w:jc w:val="left"/>
            </w:pPr>
            <w:r>
              <w:rPr>
                <w:rFonts w:ascii="Arial" w:hAnsi="Arial"/>
                <w:b w:val="0"/>
                <w:sz w:val="18"/>
              </w:rPr>
              <w:t>Alto</w:t>
            </w:r>
          </w:p>
        </w:tc>
        <w:tc>
          <w:tcPr>
            <w:tcW w:type="dxa" w:w="1728"/>
            <w:vAlign w:val="center"/>
            <w:shd w:val="clear" w:color="auto" w:fill="F2F2F2"/>
            <w:tcMar>
              <w:top w:w="80" w:type="dxa"/>
              <w:bottom w:w="80" w:type="dxa"/>
              <w:left w:w="120" w:type="dxa"/>
              <w:right w:w="120" w:type="dxa"/>
            </w:tcMar>
            <w:tcW w:w="4031" w:type="dxa"/>
          </w:tcPr>
          <w:p>
            <w:pPr>
              <w:jc w:val="left"/>
            </w:pPr>
            <w:r>
              <w:rPr>
                <w:rFonts w:ascii="Arial" w:hAnsi="Arial"/>
                <w:b w:val="0"/>
                <w:sz w:val="18"/>
              </w:rPr>
              <w:t>Pipeline MLOps con validación en campo en Año 1. El modelo está entrenado con datos sintéticos hasta el piloto.</w:t>
            </w:r>
          </w:p>
        </w:tc>
      </w:tr>
      <w:tr>
        <w:tc>
          <w:tcPr>
            <w:tcW w:type="dxa" w:w="1728"/>
            <w:vAlign w:val="center"/>
            <w:shd w:val="clear" w:color="auto" w:fill="FFFFFF"/>
            <w:tcMar>
              <w:top w:w="80" w:type="dxa"/>
              <w:bottom w:w="80" w:type="dxa"/>
              <w:left w:w="120" w:type="dxa"/>
              <w:right w:w="120" w:type="dxa"/>
            </w:tcMar>
            <w:tcW w:w="3024" w:type="dxa"/>
          </w:tcPr>
          <w:p>
            <w:pPr>
              <w:jc w:val="left"/>
            </w:pPr>
            <w:r>
              <w:rPr>
                <w:rFonts w:ascii="Arial" w:hAnsi="Arial"/>
                <w:b w:val="0"/>
                <w:sz w:val="18"/>
              </w:rPr>
              <w:t>CONAGUA lanza herramienta pública gratuita</w:t>
            </w:r>
          </w:p>
        </w:tc>
        <w:tc>
          <w:tcPr>
            <w:tcW w:type="dxa" w:w="1728"/>
            <w:vAlign w:val="center"/>
            <w:shd w:val="clear" w:color="auto" w:fill="FFFFFF"/>
            <w:tcMar>
              <w:top w:w="80" w:type="dxa"/>
              <w:bottom w:w="80" w:type="dxa"/>
              <w:left w:w="120" w:type="dxa"/>
              <w:right w:w="120" w:type="dxa"/>
            </w:tcMar>
            <w:tcW w:w="1440" w:type="dxa"/>
          </w:tcPr>
          <w:p>
            <w:pPr>
              <w:jc w:val="left"/>
            </w:pPr>
            <w:r>
              <w:rPr>
                <w:rFonts w:ascii="Arial" w:hAnsi="Arial"/>
                <w:b w:val="0"/>
                <w:sz w:val="18"/>
              </w:rPr>
              <w:t>Mercado</w:t>
            </w:r>
          </w:p>
        </w:tc>
        <w:tc>
          <w:tcPr>
            <w:tcW w:type="dxa" w:w="1728"/>
            <w:vAlign w:val="center"/>
            <w:shd w:val="clear" w:color="auto" w:fill="FFFFFF"/>
            <w:tcMar>
              <w:top w:w="80" w:type="dxa"/>
              <w:bottom w:w="80" w:type="dxa"/>
              <w:left w:w="120" w:type="dxa"/>
              <w:right w:w="120" w:type="dxa"/>
            </w:tcMar>
            <w:tcW w:w="1007" w:type="dxa"/>
          </w:tcPr>
          <w:p>
            <w:pPr>
              <w:jc w:val="left"/>
            </w:pPr>
            <w:r>
              <w:rPr>
                <w:rFonts w:ascii="Arial" w:hAnsi="Arial"/>
                <w:b w:val="0"/>
                <w:sz w:val="18"/>
              </w:rPr>
              <w:t>Media</w:t>
            </w:r>
          </w:p>
        </w:tc>
        <w:tc>
          <w:tcPr>
            <w:tcW w:type="dxa" w:w="1728"/>
            <w:vAlign w:val="center"/>
            <w:shd w:val="clear" w:color="auto" w:fill="FFFFFF"/>
            <w:tcMar>
              <w:top w:w="80" w:type="dxa"/>
              <w:bottom w:w="80" w:type="dxa"/>
              <w:left w:w="120" w:type="dxa"/>
              <w:right w:w="120" w:type="dxa"/>
            </w:tcMar>
            <w:tcW w:w="1152" w:type="dxa"/>
          </w:tcPr>
          <w:p>
            <w:pPr>
              <w:jc w:val="left"/>
            </w:pPr>
            <w:r>
              <w:rPr>
                <w:rFonts w:ascii="Arial" w:hAnsi="Arial"/>
                <w:b w:val="0"/>
                <w:sz w:val="18"/>
              </w:rPr>
              <w:t>Alto</w:t>
            </w:r>
          </w:p>
        </w:tc>
        <w:tc>
          <w:tcPr>
            <w:tcW w:type="dxa" w:w="1728"/>
            <w:vAlign w:val="center"/>
            <w:shd w:val="clear" w:color="auto" w:fill="FFFFFF"/>
            <w:tcMar>
              <w:top w:w="80" w:type="dxa"/>
              <w:bottom w:w="80" w:type="dxa"/>
              <w:left w:w="120" w:type="dxa"/>
              <w:right w:w="120" w:type="dxa"/>
            </w:tcMar>
            <w:tcW w:w="4031" w:type="dxa"/>
          </w:tcPr>
          <w:p>
            <w:pPr>
              <w:jc w:val="left"/>
            </w:pPr>
            <w:r>
              <w:rPr>
                <w:rFonts w:ascii="Arial" w:hAnsi="Arial"/>
                <w:b w:val="0"/>
                <w:sz w:val="18"/>
              </w:rPr>
              <w:t>Diferenciarse en UX/voz/GIS parcela. Dificil de replicar en app institucional.</w:t>
            </w:r>
          </w:p>
        </w:tc>
      </w:tr>
      <w:tr>
        <w:tc>
          <w:tcPr>
            <w:tcW w:type="dxa" w:w="1728"/>
            <w:vAlign w:val="center"/>
            <w:shd w:val="clear" w:color="auto" w:fill="F2F2F2"/>
            <w:tcMar>
              <w:top w:w="80" w:type="dxa"/>
              <w:bottom w:w="80" w:type="dxa"/>
              <w:left w:w="120" w:type="dxa"/>
              <w:right w:w="120" w:type="dxa"/>
            </w:tcMar>
            <w:tcW w:w="3024" w:type="dxa"/>
          </w:tcPr>
          <w:p>
            <w:pPr>
              <w:jc w:val="left"/>
            </w:pPr>
            <w:r>
              <w:rPr>
                <w:rFonts w:ascii="Arial" w:hAnsi="Arial"/>
                <w:b w:val="0"/>
                <w:sz w:val="18"/>
              </w:rPr>
              <w:t>Fuga del equipo fundador</w:t>
            </w:r>
          </w:p>
        </w:tc>
        <w:tc>
          <w:tcPr>
            <w:tcW w:type="dxa" w:w="1728"/>
            <w:vAlign w:val="center"/>
            <w:shd w:val="clear" w:color="auto" w:fill="F2F2F2"/>
            <w:tcMar>
              <w:top w:w="80" w:type="dxa"/>
              <w:bottom w:w="80" w:type="dxa"/>
              <w:left w:w="120" w:type="dxa"/>
              <w:right w:w="120" w:type="dxa"/>
            </w:tcMar>
            <w:tcW w:w="1440" w:type="dxa"/>
          </w:tcPr>
          <w:p>
            <w:pPr>
              <w:jc w:val="left"/>
            </w:pPr>
            <w:r>
              <w:rPr>
                <w:rFonts w:ascii="Arial" w:hAnsi="Arial"/>
                <w:b w:val="0"/>
                <w:sz w:val="18"/>
              </w:rPr>
              <w:t>Organizacional</w:t>
            </w:r>
          </w:p>
        </w:tc>
        <w:tc>
          <w:tcPr>
            <w:tcW w:type="dxa" w:w="1728"/>
            <w:vAlign w:val="center"/>
            <w:shd w:val="clear" w:color="auto" w:fill="F2F2F2"/>
            <w:tcMar>
              <w:top w:w="80" w:type="dxa"/>
              <w:bottom w:w="80" w:type="dxa"/>
              <w:left w:w="120" w:type="dxa"/>
              <w:right w:w="120" w:type="dxa"/>
            </w:tcMar>
            <w:tcW w:w="1007" w:type="dxa"/>
          </w:tcPr>
          <w:p>
            <w:pPr>
              <w:jc w:val="left"/>
            </w:pPr>
            <w:r>
              <w:rPr>
                <w:rFonts w:ascii="Arial" w:hAnsi="Arial"/>
                <w:b w:val="0"/>
                <w:sz w:val="18"/>
              </w:rPr>
              <w:t>Media</w:t>
            </w:r>
          </w:p>
        </w:tc>
        <w:tc>
          <w:tcPr>
            <w:tcW w:type="dxa" w:w="1728"/>
            <w:vAlign w:val="center"/>
            <w:shd w:val="clear" w:color="auto" w:fill="F2F2F2"/>
            <w:tcMar>
              <w:top w:w="80" w:type="dxa"/>
              <w:bottom w:w="80" w:type="dxa"/>
              <w:left w:w="120" w:type="dxa"/>
              <w:right w:w="120" w:type="dxa"/>
            </w:tcMar>
            <w:tcW w:w="1152" w:type="dxa"/>
          </w:tcPr>
          <w:p>
            <w:pPr>
              <w:jc w:val="left"/>
            </w:pPr>
            <w:r>
              <w:rPr>
                <w:rFonts w:ascii="Arial" w:hAnsi="Arial"/>
                <w:b w:val="0"/>
                <w:sz w:val="18"/>
              </w:rPr>
              <w:t>Crítico</w:t>
            </w:r>
          </w:p>
        </w:tc>
        <w:tc>
          <w:tcPr>
            <w:tcW w:type="dxa" w:w="1728"/>
            <w:vAlign w:val="center"/>
            <w:shd w:val="clear" w:color="auto" w:fill="F2F2F2"/>
            <w:tcMar>
              <w:top w:w="80" w:type="dxa"/>
              <w:bottom w:w="80" w:type="dxa"/>
              <w:left w:w="120" w:type="dxa"/>
              <w:right w:w="120" w:type="dxa"/>
            </w:tcMar>
            <w:tcW w:w="4031" w:type="dxa"/>
          </w:tcPr>
          <w:p>
            <w:pPr>
              <w:jc w:val="left"/>
            </w:pPr>
            <w:r>
              <w:rPr>
                <w:rFonts w:ascii="Arial" w:hAnsi="Arial"/>
                <w:b w:val="0"/>
                <w:sz w:val="18"/>
              </w:rPr>
              <w:t>Equity con vesting 4 años + documentación técnica completa en CLAUDE.md</w:t>
            </w:r>
          </w:p>
        </w:tc>
      </w:tr>
      <w:tr>
        <w:tc>
          <w:tcPr>
            <w:tcW w:type="dxa" w:w="1728"/>
            <w:vAlign w:val="center"/>
            <w:shd w:val="clear" w:color="auto" w:fill="FFFFFF"/>
            <w:tcMar>
              <w:top w:w="80" w:type="dxa"/>
              <w:bottom w:w="80" w:type="dxa"/>
              <w:left w:w="120" w:type="dxa"/>
              <w:right w:w="120" w:type="dxa"/>
            </w:tcMar>
            <w:tcW w:w="3024" w:type="dxa"/>
          </w:tcPr>
          <w:p>
            <w:pPr>
              <w:jc w:val="left"/>
            </w:pPr>
            <w:r>
              <w:rPr>
                <w:rFonts w:ascii="Arial" w:hAnsi="Arial"/>
                <w:b w:val="0"/>
                <w:sz w:val="18"/>
              </w:rPr>
              <w:t>Sequía severa (sin riego = sin uso)</w:t>
            </w:r>
          </w:p>
        </w:tc>
        <w:tc>
          <w:tcPr>
            <w:tcW w:type="dxa" w:w="1728"/>
            <w:vAlign w:val="center"/>
            <w:shd w:val="clear" w:color="auto" w:fill="FFFFFF"/>
            <w:tcMar>
              <w:top w:w="80" w:type="dxa"/>
              <w:bottom w:w="80" w:type="dxa"/>
              <w:left w:w="120" w:type="dxa"/>
              <w:right w:w="120" w:type="dxa"/>
            </w:tcMar>
            <w:tcW w:w="1440" w:type="dxa"/>
          </w:tcPr>
          <w:p>
            <w:pPr>
              <w:jc w:val="left"/>
            </w:pPr>
            <w:r>
              <w:rPr>
                <w:rFonts w:ascii="Arial" w:hAnsi="Arial"/>
                <w:b w:val="0"/>
                <w:sz w:val="18"/>
              </w:rPr>
              <w:t>Ambiental</w:t>
            </w:r>
          </w:p>
        </w:tc>
        <w:tc>
          <w:tcPr>
            <w:tcW w:type="dxa" w:w="1728"/>
            <w:vAlign w:val="center"/>
            <w:shd w:val="clear" w:color="auto" w:fill="FFFFFF"/>
            <w:tcMar>
              <w:top w:w="80" w:type="dxa"/>
              <w:bottom w:w="80" w:type="dxa"/>
              <w:left w:w="120" w:type="dxa"/>
              <w:right w:w="120" w:type="dxa"/>
            </w:tcMar>
            <w:tcW w:w="1007" w:type="dxa"/>
          </w:tcPr>
          <w:p>
            <w:pPr>
              <w:jc w:val="left"/>
            </w:pPr>
            <w:r>
              <w:rPr>
                <w:rFonts w:ascii="Arial" w:hAnsi="Arial"/>
                <w:b w:val="0"/>
                <w:sz w:val="18"/>
              </w:rPr>
              <w:t>Baja</w:t>
            </w:r>
          </w:p>
        </w:tc>
        <w:tc>
          <w:tcPr>
            <w:tcW w:type="dxa" w:w="1728"/>
            <w:vAlign w:val="center"/>
            <w:shd w:val="clear" w:color="auto" w:fill="FFFFFF"/>
            <w:tcMar>
              <w:top w:w="80" w:type="dxa"/>
              <w:bottom w:w="80" w:type="dxa"/>
              <w:left w:w="120" w:type="dxa"/>
              <w:right w:w="120" w:type="dxa"/>
            </w:tcMar>
            <w:tcW w:w="1152" w:type="dxa"/>
          </w:tcPr>
          <w:p>
            <w:pPr>
              <w:jc w:val="left"/>
            </w:pPr>
            <w:r>
              <w:rPr>
                <w:rFonts w:ascii="Arial" w:hAnsi="Arial"/>
                <w:b w:val="0"/>
                <w:sz w:val="18"/>
              </w:rPr>
              <w:t>Medio</w:t>
            </w:r>
          </w:p>
        </w:tc>
        <w:tc>
          <w:tcPr>
            <w:tcW w:type="dxa" w:w="1728"/>
            <w:vAlign w:val="center"/>
            <w:shd w:val="clear" w:color="auto" w:fill="FFFFFF"/>
            <w:tcMar>
              <w:top w:w="80" w:type="dxa"/>
              <w:bottom w:w="80" w:type="dxa"/>
              <w:left w:w="120" w:type="dxa"/>
              <w:right w:w="120" w:type="dxa"/>
            </w:tcMar>
            <w:tcW w:w="4031" w:type="dxa"/>
          </w:tcPr>
          <w:p>
            <w:pPr>
              <w:jc w:val="left"/>
            </w:pPr>
            <w:r>
              <w:rPr>
                <w:rFonts w:ascii="Arial" w:hAnsi="Arial"/>
                <w:b w:val="0"/>
                <w:sz w:val="18"/>
              </w:rPr>
              <w:t>Diversificar a cultivos de temporal a largo plazo</w:t>
            </w:r>
          </w:p>
        </w:tc>
      </w:tr>
      <w:tr>
        <w:tc>
          <w:tcPr>
            <w:tcW w:type="dxa" w:w="1728"/>
            <w:vAlign w:val="center"/>
            <w:shd w:val="clear" w:color="auto" w:fill="FFDCE1"/>
            <w:tcMar>
              <w:top w:w="80" w:type="dxa"/>
              <w:bottom w:w="80" w:type="dxa"/>
              <w:left w:w="120" w:type="dxa"/>
              <w:right w:w="120" w:type="dxa"/>
            </w:tcMar>
            <w:tcW w:w="3024" w:type="dxa"/>
          </w:tcPr>
          <w:p>
            <w:pPr>
              <w:jc w:val="left"/>
            </w:pPr>
            <w:r>
              <w:rPr>
                <w:rFonts w:ascii="Arial" w:hAnsi="Arial"/>
                <w:b/>
                <w:sz w:val="18"/>
              </w:rPr>
              <w:t>Insolvencia entre Año 1 y Año 3 (nuevo)</w:t>
            </w:r>
          </w:p>
        </w:tc>
        <w:tc>
          <w:tcPr>
            <w:tcW w:type="dxa" w:w="1728"/>
            <w:vAlign w:val="center"/>
            <w:shd w:val="clear" w:color="auto" w:fill="F2F2F2"/>
            <w:tcMar>
              <w:top w:w="80" w:type="dxa"/>
              <w:bottom w:w="80" w:type="dxa"/>
              <w:left w:w="120" w:type="dxa"/>
              <w:right w:w="120" w:type="dxa"/>
            </w:tcMar>
            <w:tcW w:w="1440" w:type="dxa"/>
          </w:tcPr>
          <w:p>
            <w:pPr>
              <w:jc w:val="left"/>
            </w:pPr>
            <w:r>
              <w:rPr>
                <w:rFonts w:ascii="Arial" w:hAnsi="Arial"/>
                <w:b w:val="0"/>
                <w:sz w:val="18"/>
              </w:rPr>
              <w:t>Financiero</w:t>
            </w:r>
          </w:p>
        </w:tc>
        <w:tc>
          <w:tcPr>
            <w:tcW w:type="dxa" w:w="1728"/>
            <w:vAlign w:val="center"/>
            <w:shd w:val="clear" w:color="auto" w:fill="F2F2F2"/>
            <w:tcMar>
              <w:top w:w="80" w:type="dxa"/>
              <w:bottom w:w="80" w:type="dxa"/>
              <w:left w:w="120" w:type="dxa"/>
              <w:right w:w="120" w:type="dxa"/>
            </w:tcMar>
            <w:tcW w:w="1007" w:type="dxa"/>
          </w:tcPr>
          <w:p>
            <w:pPr>
              <w:jc w:val="left"/>
            </w:pPr>
            <w:r>
              <w:rPr>
                <w:rFonts w:ascii="Arial" w:hAnsi="Arial"/>
                <w:b w:val="0"/>
                <w:sz w:val="18"/>
              </w:rPr>
              <w:t>Alta</w:t>
            </w:r>
          </w:p>
        </w:tc>
        <w:tc>
          <w:tcPr>
            <w:tcW w:type="dxa" w:w="1728"/>
            <w:vAlign w:val="center"/>
            <w:shd w:val="clear" w:color="auto" w:fill="F2F2F2"/>
            <w:tcMar>
              <w:top w:w="80" w:type="dxa"/>
              <w:bottom w:w="80" w:type="dxa"/>
              <w:left w:w="120" w:type="dxa"/>
              <w:right w:w="120" w:type="dxa"/>
            </w:tcMar>
            <w:tcW w:w="1152" w:type="dxa"/>
          </w:tcPr>
          <w:p>
            <w:pPr>
              <w:jc w:val="left"/>
            </w:pPr>
            <w:r>
              <w:rPr>
                <w:rFonts w:ascii="Arial" w:hAnsi="Arial"/>
                <w:b w:val="0"/>
                <w:sz w:val="18"/>
              </w:rPr>
              <w:t>Crítico</w:t>
            </w:r>
          </w:p>
        </w:tc>
        <w:tc>
          <w:tcPr>
            <w:tcW w:type="dxa" w:w="1728"/>
            <w:vAlign w:val="center"/>
            <w:shd w:val="clear" w:color="auto" w:fill="F2F2F2"/>
            <w:tcMar>
              <w:top w:w="80" w:type="dxa"/>
              <w:bottom w:w="80" w:type="dxa"/>
              <w:left w:w="120" w:type="dxa"/>
              <w:right w:w="120" w:type="dxa"/>
            </w:tcMar>
            <w:tcW w:w="4031" w:type="dxa"/>
          </w:tcPr>
          <w:p>
            <w:pPr>
              <w:jc w:val="left"/>
            </w:pPr>
            <w:r>
              <w:rPr>
                <w:rFonts w:ascii="Arial" w:hAnsi="Arial"/>
                <w:b w:val="0"/>
                <w:sz w:val="18"/>
              </w:rPr>
              <w:t>Asegurar financiamiento puente ANTES de iniciar (CONAHCYT + capital ángel). La empresa quema ~$110,000 MXN/mes en Año 2 con solo $40,000 de ingresos mensuales.</w:t>
            </w:r>
          </w:p>
        </w:tc>
      </w:tr>
    </w:tbl>
    <w:p>
      <w:pPr>
        <w:spacing w:before="40" w:after="160"/>
        <w:jc w:val="center"/>
      </w:pPr>
      <w:r>
        <w:rPr>
          <w:rFonts w:ascii="Arial" w:hAnsi="Arial"/>
          <w:i/>
          <w:color w:val="606060"/>
          <w:sz w:val="18"/>
        </w:rPr>
        <w:t>Tabla 8.1: Matriz de riesgos revisada. Se añade riesgo de insolvencia, que en la versión anterior se omitía al asumir que el CAPEX inicial cubría todos los déficits.</w:t>
      </w:r>
    </w:p>
    <w:p>
      <w:pPr>
        <w:spacing w:after="40"/>
      </w:pPr>
    </w:p>
    <w:p>
      <w:pPr>
        <w:pStyle w:val="Heading2"/>
      </w:pPr>
      <w:r>
        <w:rPr>
          <w:rFonts w:ascii="Arial" w:hAnsi="Arial"/>
          <w:color w:val="2E75B6"/>
          <w:sz w:val="26"/>
        </w:rPr>
        <w:t>8.2 Análisis de Escenarios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shd w:val="clear" w:color="auto" w:fill="1F3864"/>
            <w:tcMar>
              <w:top w:w="80" w:type="dxa"/>
              <w:bottom w:w="80" w:type="dxa"/>
              <w:left w:w="120" w:type="dxa"/>
              <w:right w:w="120" w:type="dxa"/>
            </w:tcMar>
            <w:tcW w:w="3024" w:type="dxa"/>
          </w:tcPr>
          <w:p>
            <w:pPr>
              <w:jc w:val="center"/>
            </w:pPr>
            <w:r>
              <w:rPr>
                <w:rFonts w:ascii="Arial" w:hAnsi="Arial"/>
                <w:b/>
                <w:color w:val="FFFFFF"/>
                <w:sz w:val="18"/>
              </w:rPr>
              <w:t>Indicador</w:t>
            </w:r>
          </w:p>
        </w:tc>
        <w:tc>
          <w:tcPr>
            <w:tcW w:type="dxa" w:w="2160"/>
            <w:vAlign w:val="center"/>
            <w:shd w:val="clear" w:color="auto" w:fill="1F3864"/>
            <w:tcMar>
              <w:top w:w="80" w:type="dxa"/>
              <w:bottom w:w="80" w:type="dxa"/>
              <w:left w:w="120" w:type="dxa"/>
              <w:right w:w="120" w:type="dxa"/>
            </w:tcMar>
            <w:tcW w:w="2592" w:type="dxa"/>
          </w:tcPr>
          <w:p>
            <w:pPr>
              <w:jc w:val="center"/>
            </w:pPr>
            <w:r>
              <w:rPr>
                <w:rFonts w:ascii="Arial" w:hAnsi="Arial"/>
                <w:b/>
                <w:color w:val="FFFFFF"/>
                <w:sz w:val="18"/>
              </w:rPr>
              <w:t>Conservador</w:t>
            </w:r>
          </w:p>
        </w:tc>
        <w:tc>
          <w:tcPr>
            <w:tcW w:type="dxa" w:w="2160"/>
            <w:vAlign w:val="center"/>
            <w:shd w:val="clear" w:color="auto" w:fill="1F3864"/>
            <w:tcMar>
              <w:top w:w="80" w:type="dxa"/>
              <w:bottom w:w="80" w:type="dxa"/>
              <w:left w:w="120" w:type="dxa"/>
              <w:right w:w="120" w:type="dxa"/>
            </w:tcMar>
            <w:tcW w:w="2592" w:type="dxa"/>
          </w:tcPr>
          <w:p>
            <w:pPr>
              <w:jc w:val="center"/>
            </w:pPr>
            <w:r>
              <w:rPr>
                <w:rFonts w:ascii="Arial" w:hAnsi="Arial"/>
                <w:b/>
                <w:color w:val="FFFFFF"/>
                <w:sz w:val="18"/>
              </w:rPr>
              <w:t>Base (este plan)</w:t>
            </w:r>
          </w:p>
        </w:tc>
        <w:tc>
          <w:tcPr>
            <w:tcW w:type="dxa" w:w="2160"/>
            <w:vAlign w:val="center"/>
            <w:shd w:val="clear" w:color="auto" w:fill="1F3864"/>
            <w:tcMar>
              <w:top w:w="80" w:type="dxa"/>
              <w:bottom w:w="80" w:type="dxa"/>
              <w:left w:w="120" w:type="dxa"/>
              <w:right w:w="120" w:type="dxa"/>
            </w:tcMar>
            <w:tcW w:w="2448" w:type="dxa"/>
          </w:tcPr>
          <w:p>
            <w:pPr>
              <w:jc w:val="center"/>
            </w:pPr>
            <w:r>
              <w:rPr>
                <w:rFonts w:ascii="Arial" w:hAnsi="Arial"/>
                <w:b/>
                <w:color w:val="FFFFFF"/>
                <w:sz w:val="18"/>
              </w:rPr>
              <w:t>Optimista</w:t>
            </w:r>
          </w:p>
        </w:tc>
      </w:tr>
      <w:tr>
        <w:tc>
          <w:tcPr>
            <w:tcW w:type="dxa" w:w="2160"/>
            <w:vAlign w:val="center"/>
            <w:shd w:val="clear" w:color="auto" w:fill="F2F2F2"/>
            <w:tcMar>
              <w:top w:w="80" w:type="dxa"/>
              <w:bottom w:w="80" w:type="dxa"/>
              <w:left w:w="120" w:type="dxa"/>
              <w:right w:w="120" w:type="dxa"/>
            </w:tcMar>
            <w:tcW w:w="3024" w:type="dxa"/>
          </w:tcPr>
          <w:p>
            <w:pPr>
              <w:jc w:val="left"/>
            </w:pPr>
            <w:r>
              <w:rPr>
                <w:rFonts w:ascii="Arial" w:hAnsi="Arial"/>
                <w:b w:val="0"/>
                <w:sz w:val="18"/>
              </w:rPr>
              <w:t>Ha Año 3</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400 ha</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1,500 ha</w:t>
            </w:r>
          </w:p>
        </w:tc>
        <w:tc>
          <w:tcPr>
            <w:tcW w:type="dxa" w:w="2160"/>
            <w:vAlign w:val="center"/>
            <w:shd w:val="clear" w:color="auto" w:fill="F2F2F2"/>
            <w:tcMar>
              <w:top w:w="80" w:type="dxa"/>
              <w:bottom w:w="80" w:type="dxa"/>
              <w:left w:w="120" w:type="dxa"/>
              <w:right w:w="120" w:type="dxa"/>
            </w:tcMar>
            <w:tcW w:w="2448" w:type="dxa"/>
          </w:tcPr>
          <w:p>
            <w:pPr>
              <w:jc w:val="left"/>
            </w:pPr>
            <w:r>
              <w:rPr>
                <w:rFonts w:ascii="Arial" w:hAnsi="Arial"/>
                <w:b w:val="0"/>
                <w:sz w:val="18"/>
              </w:rPr>
              <w:t>4,000 ha</w:t>
            </w:r>
          </w:p>
        </w:tc>
      </w:tr>
      <w:tr>
        <w:tc>
          <w:tcPr>
            <w:tcW w:type="dxa" w:w="2160"/>
            <w:vAlign w:val="center"/>
            <w:shd w:val="clear" w:color="auto" w:fill="FFFFFF"/>
            <w:tcMar>
              <w:top w:w="80" w:type="dxa"/>
              <w:bottom w:w="80" w:type="dxa"/>
              <w:left w:w="120" w:type="dxa"/>
              <w:right w:w="120" w:type="dxa"/>
            </w:tcMar>
            <w:tcW w:w="3024" w:type="dxa"/>
          </w:tcPr>
          <w:p>
            <w:pPr>
              <w:jc w:val="left"/>
            </w:pPr>
            <w:r>
              <w:rPr>
                <w:rFonts w:ascii="Arial" w:hAnsi="Arial"/>
                <w:b w:val="0"/>
                <w:sz w:val="18"/>
              </w:rPr>
              <w:t>Ingresos Año 3</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$480,000 MXN</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$1,800,000 MXN</w:t>
            </w:r>
          </w:p>
        </w:tc>
        <w:tc>
          <w:tcPr>
            <w:tcW w:type="dxa" w:w="2160"/>
            <w:vAlign w:val="center"/>
            <w:shd w:val="clear" w:color="auto" w:fill="FFFFFF"/>
            <w:tcMar>
              <w:top w:w="80" w:type="dxa"/>
              <w:bottom w:w="80" w:type="dxa"/>
              <w:left w:w="120" w:type="dxa"/>
              <w:right w:w="120" w:type="dxa"/>
            </w:tcMar>
            <w:tcW w:w="2448" w:type="dxa"/>
          </w:tcPr>
          <w:p>
            <w:pPr>
              <w:jc w:val="left"/>
            </w:pPr>
            <w:r>
              <w:rPr>
                <w:rFonts w:ascii="Arial" w:hAnsi="Arial"/>
                <w:b w:val="0"/>
                <w:sz w:val="18"/>
              </w:rPr>
              <w:t>$4,800,000 MXN</w:t>
            </w:r>
          </w:p>
        </w:tc>
      </w:tr>
      <w:tr>
        <w:tc>
          <w:tcPr>
            <w:tcW w:type="dxa" w:w="2160"/>
            <w:vAlign w:val="center"/>
            <w:shd w:val="clear" w:color="auto" w:fill="F2F2F2"/>
            <w:tcMar>
              <w:top w:w="80" w:type="dxa"/>
              <w:bottom w:w="80" w:type="dxa"/>
              <w:left w:w="120" w:type="dxa"/>
              <w:right w:w="120" w:type="dxa"/>
            </w:tcMar>
            <w:tcW w:w="3024" w:type="dxa"/>
          </w:tcPr>
          <w:p>
            <w:pPr>
              <w:jc w:val="left"/>
            </w:pPr>
            <w:r>
              <w:rPr>
                <w:rFonts w:ascii="Arial" w:hAnsi="Arial"/>
                <w:b w:val="0"/>
                <w:sz w:val="18"/>
              </w:rPr>
              <w:t>Flujo neto Año 3</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−$520,000 MXN</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+$100,000 MXN</w:t>
            </w:r>
          </w:p>
        </w:tc>
        <w:tc>
          <w:tcPr>
            <w:tcW w:type="dxa" w:w="2160"/>
            <w:vAlign w:val="center"/>
            <w:shd w:val="clear" w:color="auto" w:fill="F2F2F2"/>
            <w:tcMar>
              <w:top w:w="80" w:type="dxa"/>
              <w:bottom w:w="80" w:type="dxa"/>
              <w:left w:w="120" w:type="dxa"/>
              <w:right w:w="120" w:type="dxa"/>
            </w:tcMar>
            <w:tcW w:w="2448" w:type="dxa"/>
          </w:tcPr>
          <w:p>
            <w:pPr>
              <w:jc w:val="left"/>
            </w:pPr>
            <w:r>
              <w:rPr>
                <w:rFonts w:ascii="Arial" w:hAnsi="Arial"/>
                <w:b w:val="0"/>
                <w:sz w:val="18"/>
              </w:rPr>
              <w:t>+$2,300,000 MXN</w:t>
            </w:r>
          </w:p>
        </w:tc>
      </w:tr>
      <w:tr>
        <w:tc>
          <w:tcPr>
            <w:tcW w:type="dxa" w:w="2160"/>
            <w:vAlign w:val="center"/>
            <w:shd w:val="clear" w:color="auto" w:fill="FFFFFF"/>
            <w:tcMar>
              <w:top w:w="80" w:type="dxa"/>
              <w:bottom w:w="80" w:type="dxa"/>
              <w:left w:w="120" w:type="dxa"/>
              <w:right w:w="120" w:type="dxa"/>
            </w:tcMar>
            <w:tcW w:w="3024" w:type="dxa"/>
          </w:tcPr>
          <w:p>
            <w:pPr>
              <w:jc w:val="left"/>
            </w:pPr>
            <w:r>
              <w:rPr>
                <w:rFonts w:ascii="Arial" w:hAnsi="Arial"/>
                <w:b w:val="0"/>
                <w:sz w:val="18"/>
              </w:rPr>
              <w:t>Capital total requerido</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~$1.9M MXN (sin break-even en 5 años)</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~$2.3M MXN</w:t>
            </w:r>
          </w:p>
        </w:tc>
        <w:tc>
          <w:tcPr>
            <w:tcW w:type="dxa" w:w="2160"/>
            <w:vAlign w:val="center"/>
            <w:shd w:val="clear" w:color="auto" w:fill="FFFFFF"/>
            <w:tcMar>
              <w:top w:w="80" w:type="dxa"/>
              <w:bottom w:w="80" w:type="dxa"/>
              <w:left w:w="120" w:type="dxa"/>
              <w:right w:w="120" w:type="dxa"/>
            </w:tcMar>
            <w:tcW w:w="2448" w:type="dxa"/>
          </w:tcPr>
          <w:p>
            <w:pPr>
              <w:jc w:val="left"/>
            </w:pPr>
            <w:r>
              <w:rPr>
                <w:rFonts w:ascii="Arial" w:hAnsi="Arial"/>
                <w:b w:val="0"/>
                <w:sz w:val="18"/>
              </w:rPr>
              <w:t>~$2.0M MXN</w:t>
            </w:r>
          </w:p>
        </w:tc>
      </w:tr>
      <w:tr>
        <w:tc>
          <w:tcPr>
            <w:tcW w:type="dxa" w:w="2160"/>
            <w:vAlign w:val="center"/>
            <w:shd w:val="clear" w:color="auto" w:fill="F2F2F2"/>
            <w:tcMar>
              <w:top w:w="80" w:type="dxa"/>
              <w:bottom w:w="80" w:type="dxa"/>
              <w:left w:w="120" w:type="dxa"/>
              <w:right w:w="120" w:type="dxa"/>
            </w:tcMar>
            <w:tcW w:w="3024" w:type="dxa"/>
          </w:tcPr>
          <w:p>
            <w:pPr>
              <w:jc w:val="left"/>
            </w:pPr>
            <w:r>
              <w:rPr>
                <w:rFonts w:ascii="Arial" w:hAnsi="Arial"/>
                <w:b w:val="0"/>
                <w:sz w:val="18"/>
              </w:rPr>
              <w:t>VAN (12%, 3 años)</w:t>
            </w:r>
          </w:p>
        </w:tc>
        <w:tc>
          <w:tcPr>
            <w:tcW w:type="dxa" w:w="2160"/>
            <w:vAlign w:val="center"/>
            <w:shd w:val="clear" w:color="auto" w:fill="FFDCE1"/>
            <w:tcMar>
              <w:top w:w="80" w:type="dxa"/>
              <w:bottom w:w="80" w:type="dxa"/>
              <w:left w:w="120" w:type="dxa"/>
              <w:right w:w="120" w:type="dxa"/>
            </w:tcMar>
            <w:tcW w:w="2592" w:type="dxa"/>
          </w:tcPr>
          <w:p>
            <w:pPr>
              <w:jc w:val="center"/>
            </w:pPr>
            <w:r>
              <w:rPr>
                <w:rFonts w:ascii="Arial" w:hAnsi="Arial"/>
                <w:b w:val="0"/>
                <w:sz w:val="18"/>
              </w:rPr>
              <w:t>−$2,100,000 MXN</w:t>
            </w:r>
          </w:p>
        </w:tc>
        <w:tc>
          <w:tcPr>
            <w:tcW w:type="dxa" w:w="2160"/>
            <w:vAlign w:val="center"/>
            <w:shd w:val="clear" w:color="auto" w:fill="FFDCE1"/>
            <w:tcMar>
              <w:top w:w="80" w:type="dxa"/>
              <w:bottom w:w="80" w:type="dxa"/>
              <w:left w:w="120" w:type="dxa"/>
              <w:right w:w="120" w:type="dxa"/>
            </w:tcMar>
            <w:tcW w:w="2592" w:type="dxa"/>
          </w:tcPr>
          <w:p>
            <w:pPr>
              <w:jc w:val="center"/>
            </w:pPr>
            <w:r>
              <w:rPr>
                <w:rFonts w:ascii="Arial" w:hAnsi="Arial"/>
                <w:b w:val="0"/>
                <w:sz w:val="18"/>
              </w:rPr>
              <w:t>−$1,521,000 MXN</w:t>
            </w:r>
          </w:p>
        </w:tc>
        <w:tc>
          <w:tcPr>
            <w:tcW w:type="dxa" w:w="2160"/>
            <w:vAlign w:val="center"/>
            <w:shd w:val="clear" w:color="auto" w:fill="E2EFDA"/>
            <w:tcMar>
              <w:top w:w="80" w:type="dxa"/>
              <w:bottom w:w="80" w:type="dxa"/>
              <w:left w:w="120" w:type="dxa"/>
              <w:right w:w="120" w:type="dxa"/>
            </w:tcMar>
            <w:tcW w:w="2448" w:type="dxa"/>
          </w:tcPr>
          <w:p>
            <w:pPr>
              <w:jc w:val="center"/>
            </w:pPr>
            <w:r>
              <w:rPr>
                <w:rFonts w:ascii="Arial" w:hAnsi="Arial"/>
                <w:b w:val="0"/>
                <w:sz w:val="18"/>
              </w:rPr>
              <w:t>+$420,000 MXN</w:t>
            </w:r>
          </w:p>
        </w:tc>
      </w:tr>
      <w:tr>
        <w:tc>
          <w:tcPr>
            <w:tcW w:type="dxa" w:w="2160"/>
            <w:vAlign w:val="center"/>
            <w:shd w:val="clear" w:color="auto" w:fill="FFFFFF"/>
            <w:tcMar>
              <w:top w:w="80" w:type="dxa"/>
              <w:bottom w:w="80" w:type="dxa"/>
              <w:left w:w="120" w:type="dxa"/>
              <w:right w:w="120" w:type="dxa"/>
            </w:tcMar>
            <w:tcW w:w="3024" w:type="dxa"/>
          </w:tcPr>
          <w:p>
            <w:pPr>
              <w:jc w:val="left"/>
            </w:pPr>
            <w:r>
              <w:rPr>
                <w:rFonts w:ascii="Arial" w:hAnsi="Arial"/>
                <w:b w:val="0"/>
                <w:sz w:val="18"/>
              </w:rPr>
              <w:t>VAN (12%, 5 años)</w:t>
            </w:r>
          </w:p>
        </w:tc>
        <w:tc>
          <w:tcPr>
            <w:tcW w:type="dxa" w:w="2160"/>
            <w:vAlign w:val="center"/>
            <w:shd w:val="clear" w:color="auto" w:fill="FFDCE1"/>
            <w:tcMar>
              <w:top w:w="80" w:type="dxa"/>
              <w:bottom w:w="80" w:type="dxa"/>
              <w:left w:w="120" w:type="dxa"/>
              <w:right w:w="120" w:type="dxa"/>
            </w:tcMar>
            <w:tcW w:w="2592" w:type="dxa"/>
          </w:tcPr>
          <w:p>
            <w:pPr>
              <w:jc w:val="center"/>
            </w:pPr>
            <w:r>
              <w:rPr>
                <w:rFonts w:ascii="Arial" w:hAnsi="Arial"/>
                <w:b w:val="0"/>
                <w:sz w:val="18"/>
              </w:rPr>
              <w:t>−$900,000 MXN</w:t>
            </w:r>
          </w:p>
        </w:tc>
        <w:tc>
          <w:tcPr>
            <w:tcW w:type="dxa" w:w="2160"/>
            <w:vAlign w:val="center"/>
            <w:shd w:val="clear" w:color="auto" w:fill="E2EFDA"/>
            <w:tcMar>
              <w:top w:w="80" w:type="dxa"/>
              <w:bottom w:w="80" w:type="dxa"/>
              <w:left w:w="120" w:type="dxa"/>
              <w:right w:w="120" w:type="dxa"/>
            </w:tcMar>
            <w:tcW w:w="2592" w:type="dxa"/>
          </w:tcPr>
          <w:p>
            <w:pPr>
              <w:jc w:val="center"/>
            </w:pPr>
            <w:r>
              <w:rPr>
                <w:rFonts w:ascii="Arial" w:hAnsi="Arial"/>
                <w:b w:val="0"/>
                <w:sz w:val="18"/>
              </w:rPr>
              <w:t>+$1,199,000 MXN</w:t>
            </w:r>
          </w:p>
        </w:tc>
        <w:tc>
          <w:tcPr>
            <w:tcW w:type="dxa" w:w="2160"/>
            <w:vAlign w:val="center"/>
            <w:shd w:val="clear" w:color="auto" w:fill="E2EFDA"/>
            <w:tcMar>
              <w:top w:w="80" w:type="dxa"/>
              <w:bottom w:w="80" w:type="dxa"/>
              <w:left w:w="120" w:type="dxa"/>
              <w:right w:w="120" w:type="dxa"/>
            </w:tcMar>
            <w:tcW w:w="2448" w:type="dxa"/>
          </w:tcPr>
          <w:p>
            <w:pPr>
              <w:jc w:val="center"/>
            </w:pPr>
            <w:r>
              <w:rPr>
                <w:rFonts w:ascii="Arial" w:hAnsi="Arial"/>
                <w:b w:val="0"/>
                <w:sz w:val="18"/>
              </w:rPr>
              <w:t>+$4,200,000 MXN</w:t>
            </w:r>
          </w:p>
        </w:tc>
      </w:tr>
      <w:tr>
        <w:tc>
          <w:tcPr>
            <w:tcW w:type="dxa" w:w="2160"/>
            <w:vAlign w:val="center"/>
            <w:shd w:val="clear" w:color="auto" w:fill="F2F2F2"/>
            <w:tcMar>
              <w:top w:w="80" w:type="dxa"/>
              <w:bottom w:w="80" w:type="dxa"/>
              <w:left w:w="120" w:type="dxa"/>
              <w:right w:w="120" w:type="dxa"/>
            </w:tcMar>
            <w:tcW w:w="3024" w:type="dxa"/>
          </w:tcPr>
          <w:p>
            <w:pPr>
              <w:jc w:val="left"/>
            </w:pPr>
            <w:r>
              <w:rPr>
                <w:rFonts w:ascii="Arial" w:hAnsi="Arial"/>
                <w:b w:val="0"/>
                <w:sz w:val="18"/>
              </w:rPr>
              <w:t>TIR (5 años)</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Negativa / N/A</w:t>
            </w:r>
          </w:p>
        </w:tc>
        <w:tc>
          <w:tcPr>
            <w:tcW w:type="dxa" w:w="2160"/>
            <w:vAlign w:val="center"/>
            <w:shd w:val="clear" w:color="auto" w:fill="F2F2F2"/>
            <w:tcMar>
              <w:top w:w="80" w:type="dxa"/>
              <w:bottom w:w="80" w:type="dxa"/>
              <w:left w:w="120" w:type="dxa"/>
              <w:right w:w="120" w:type="dxa"/>
            </w:tcMar>
            <w:tcW w:w="2592" w:type="dxa"/>
          </w:tcPr>
          <w:p>
            <w:pPr>
              <w:jc w:val="left"/>
            </w:pPr>
            <w:r>
              <w:rPr>
                <w:rFonts w:ascii="Arial" w:hAnsi="Arial"/>
                <w:b w:val="0"/>
                <w:sz w:val="18"/>
              </w:rPr>
              <w:t>~31%</w:t>
            </w:r>
          </w:p>
        </w:tc>
        <w:tc>
          <w:tcPr>
            <w:tcW w:type="dxa" w:w="2160"/>
            <w:vAlign w:val="center"/>
            <w:shd w:val="clear" w:color="auto" w:fill="F2F2F2"/>
            <w:tcMar>
              <w:top w:w="80" w:type="dxa"/>
              <w:bottom w:w="80" w:type="dxa"/>
              <w:left w:w="120" w:type="dxa"/>
              <w:right w:w="120" w:type="dxa"/>
            </w:tcMar>
            <w:tcW w:w="2448" w:type="dxa"/>
          </w:tcPr>
          <w:p>
            <w:pPr>
              <w:jc w:val="left"/>
            </w:pPr>
            <w:r>
              <w:rPr>
                <w:rFonts w:ascii="Arial" w:hAnsi="Arial"/>
                <w:b w:val="0"/>
                <w:sz w:val="18"/>
              </w:rPr>
              <w:t>~65%</w:t>
            </w:r>
          </w:p>
        </w:tc>
      </w:tr>
      <w:tr>
        <w:tc>
          <w:tcPr>
            <w:tcW w:type="dxa" w:w="2160"/>
            <w:vAlign w:val="center"/>
            <w:shd w:val="clear" w:color="auto" w:fill="FFFFFF"/>
            <w:tcMar>
              <w:top w:w="80" w:type="dxa"/>
              <w:bottom w:w="80" w:type="dxa"/>
              <w:left w:w="120" w:type="dxa"/>
              <w:right w:w="120" w:type="dxa"/>
            </w:tcMar>
            <w:tcW w:w="3024" w:type="dxa"/>
          </w:tcPr>
          <w:p>
            <w:pPr>
              <w:jc w:val="left"/>
            </w:pPr>
            <w:r>
              <w:rPr>
                <w:rFonts w:ascii="Arial" w:hAnsi="Arial"/>
                <w:b w:val="0"/>
                <w:sz w:val="18"/>
              </w:rPr>
              <w:t>Equilibrio operativo anual</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N/A (Año 5+)</w:t>
            </w:r>
          </w:p>
        </w:tc>
        <w:tc>
          <w:tcPr>
            <w:tcW w:type="dxa" w:w="2160"/>
            <w:vAlign w:val="center"/>
            <w:shd w:val="clear" w:color="auto" w:fill="FFFFFF"/>
            <w:tcMar>
              <w:top w:w="80" w:type="dxa"/>
              <w:bottom w:w="80" w:type="dxa"/>
              <w:left w:w="120" w:type="dxa"/>
              <w:right w:w="120" w:type="dxa"/>
            </w:tcMar>
            <w:tcW w:w="2592" w:type="dxa"/>
          </w:tcPr>
          <w:p>
            <w:pPr>
              <w:jc w:val="left"/>
            </w:pPr>
            <w:r>
              <w:rPr>
                <w:rFonts w:ascii="Arial" w:hAnsi="Arial"/>
                <w:b w:val="0"/>
                <w:sz w:val="18"/>
              </w:rPr>
              <w:t>Año 3 (Q3, 1,420 ha)</w:t>
            </w:r>
          </w:p>
        </w:tc>
        <w:tc>
          <w:tcPr>
            <w:tcW w:type="dxa" w:w="2160"/>
            <w:vAlign w:val="center"/>
            <w:shd w:val="clear" w:color="auto" w:fill="FFFFFF"/>
            <w:tcMar>
              <w:top w:w="80" w:type="dxa"/>
              <w:bottom w:w="80" w:type="dxa"/>
              <w:left w:w="120" w:type="dxa"/>
              <w:right w:w="120" w:type="dxa"/>
            </w:tcMar>
            <w:tcW w:w="2448" w:type="dxa"/>
          </w:tcPr>
          <w:p>
            <w:pPr>
              <w:jc w:val="left"/>
            </w:pPr>
            <w:r>
              <w:rPr>
                <w:rFonts w:ascii="Arial" w:hAnsi="Arial"/>
                <w:b w:val="0"/>
                <w:sz w:val="18"/>
              </w:rPr>
              <w:t>Año 2 (Q4)</w:t>
            </w:r>
          </w:p>
        </w:tc>
      </w:tr>
    </w:tbl>
    <w:p>
      <w:pPr>
        <w:spacing w:before="40" w:after="160"/>
        <w:jc w:val="center"/>
      </w:pPr>
      <w:r>
        <w:rPr>
          <w:rFonts w:ascii="Arial" w:hAnsi="Arial"/>
          <w:i/>
          <w:color w:val="606060"/>
          <w:sz w:val="18"/>
        </w:rPr>
        <w:t>Tabla 8.2: Escenarios financieros revisados. El escenario conservador tiene VAN negativo a 5 años — es inviable sin capital adicional. El escenario optimista requiere capital semilla para escalar.</w:t>
      </w:r>
    </w:p>
    <w:p>
      <w:pPr>
        <w:spacing w:after="40"/>
      </w:pPr>
    </w:p>
    <w:p>
      <w:pPr>
        <w:spacing w:before="80" w:after="160"/>
        <w:ind w:left="216"/>
        <w:shd w:val="clear" w:color="auto" w:fill="FFDCE1"/>
        <w:pBdr>
          <w:left w:val="single" w:sz="18" w:space="4" w:color="C0392B"/>
        </w:pBdr>
      </w:pPr>
      <w:r>
        <w:rPr>
          <w:rFonts w:ascii="Arial" w:hAnsi="Arial"/>
          <w:i/>
          <w:color w:val="333333"/>
          <w:sz w:val="20"/>
        </w:rPr>
        <w:t>Diferencia crítica respecto a versión anterior: el escenario 'conservador' anterior (3,000 ha en Año 3) seguía siendo VAN positivo. Eso no es conservador — es optimista. El verdadero escenario conservador muestra que sin escala mínima de ~1,400 ha el proyecto no es autosustentable y requiere capital externo indefinidamente.</w:t>
      </w:r>
    </w:p>
    <w:p>
      <w:pPr>
        <w:spacing w:after="40"/>
      </w:pPr>
    </w:p>
    <w:p>
      <w:pPr>
        <w:pStyle w:val="Heading2"/>
      </w:pPr>
      <w:r>
        <w:rPr>
          <w:rFonts w:ascii="Arial" w:hAnsi="Arial"/>
          <w:color w:val="2E75B6"/>
          <w:sz w:val="26"/>
        </w:rPr>
        <w:t>8.3 Fricciones Operativas No Resueltas (nuevo)</w:t>
      </w:r>
    </w:p>
    <w:p>
      <w:pPr>
        <w:spacing w:after="120"/>
        <w:jc w:val="left"/>
      </w:pPr>
      <w:r>
        <w:rPr>
          <w:rFonts w:ascii="Arial" w:hAnsi="Arial"/>
          <w:b w:val="0"/>
          <w:i w:val="0"/>
          <w:sz w:val="22"/>
        </w:rPr>
        <w:t>Esta sección documenta los problemas operativos concretos que no aparecían en la versión anterior del plan de negocios porque se presentaba un escenario sin fricción. Cada fricción incluye una posible solución y su costo estimado.</w:t>
      </w:r>
    </w:p>
    <w:p>
      <w:pPr>
        <w:spacing w:after="40"/>
      </w:pPr>
    </w:p>
    <w:p>
      <w:pPr>
        <w:pStyle w:val="Heading3"/>
      </w:pPr>
      <w:r>
        <w:rPr>
          <w:rFonts w:ascii="Arial" w:hAnsi="Arial"/>
          <w:color w:val="404040"/>
          <w:sz w:val="22"/>
        </w:rPr>
        <w:t>Fricción 1: Conectividad rural intermitente</w:t>
      </w:r>
    </w:p>
    <w:p>
      <w:pPr>
        <w:spacing w:after="120"/>
        <w:jc w:val="left"/>
      </w:pPr>
      <w:r>
        <w:rPr>
          <w:rFonts w:ascii="Arial" w:hAnsi="Arial"/>
          <w:b w:val="0"/>
          <w:i w:val="0"/>
          <w:sz w:val="22"/>
        </w:rPr>
        <w:t>El 68% de penetración de smartphone en zonas rurales no equivale a 68% de conectividad confiable en parcela. Muchas áreas del Módulo 3 tienen señal 3G intermitente. El app web actual requiere conexión constante para cargar el mapa Leaflet y consumir la API FastAPI. Sin modo offline, el sistema es inaccesible durante las horas de trabajo en campo, que es exactamente cuando el productor necesita la recomendación.</w:t>
      </w:r>
    </w:p>
    <w:p>
      <w:pPr>
        <w:spacing w:before="80" w:after="160"/>
        <w:ind w:left="216"/>
        <w:shd w:val="clear" w:color="auto" w:fill="E2EFDA"/>
        <w:pBdr>
          <w:left w:val="single" w:sz="18" w:space="4" w:color="27AE60"/>
        </w:pBdr>
      </w:pPr>
      <w:r>
        <w:rPr>
          <w:rFonts w:ascii="Arial" w:hAnsi="Arial"/>
          <w:i/>
          <w:color w:val="333333"/>
          <w:sz w:val="20"/>
        </w:rPr>
        <w:t>Solución posible: Progressive Web App (PWA) con Service Worker que cachea las últimas 72h de datos por parcela y sincroniza cuando hay conexión. Costo estimado: 3–4 semanas de desarrollo frontend (~$40,000 MXN de costo de oportunidad). Debe estar en Año 1.</w:t>
      </w:r>
    </w:p>
    <w:p>
      <w:pPr>
        <w:spacing w:after="40"/>
      </w:pPr>
    </w:p>
    <w:p>
      <w:pPr>
        <w:pStyle w:val="Heading3"/>
      </w:pPr>
      <w:r>
        <w:rPr>
          <w:rFonts w:ascii="Arial" w:hAnsi="Arial"/>
          <w:color w:val="404040"/>
          <w:sz w:val="22"/>
        </w:rPr>
        <w:t>Fricción 2: Captura de datos en campo — el eslabón roto</w:t>
      </w:r>
    </w:p>
    <w:p>
      <w:pPr>
        <w:spacing w:after="120"/>
        <w:jc w:val="left"/>
      </w:pPr>
      <w:r>
        <w:rPr>
          <w:rFonts w:ascii="Arial" w:hAnsi="Arial"/>
          <w:b w:val="0"/>
          <w:i w:val="0"/>
          <w:sz w:val="22"/>
        </w:rPr>
        <w:t>El sistema requiere que el productor registre el riego ejecutado para que el loop recomendación→historial→mejora de modelos funcione correctamente. Deployments de AgTech en México reportan compliance de captura de datos &lt;40% sin promotor en campo (IMTA, 2022). Sin datos de riegos reales, la función propagar_balance_hidrico() se degrada progresivamente, generando recomendaciones incorrectas que destrozan la confianza del productor.</w:t>
      </w:r>
    </w:p>
    <w:p>
      <w:pPr>
        <w:spacing w:before="80" w:after="160"/>
        <w:ind w:left="216"/>
        <w:shd w:val="clear" w:color="auto" w:fill="E2EFDA"/>
        <w:pBdr>
          <w:left w:val="single" w:sz="18" w:space="4" w:color="27AE60"/>
        </w:pBdr>
      </w:pPr>
      <w:r>
        <w:rPr>
          <w:rFonts w:ascii="Arial" w:hAnsi="Arial"/>
          <w:i/>
          <w:color w:val="333333"/>
          <w:sz w:val="20"/>
        </w:rPr>
        <w:t>Solución posible A: integración con volumetría digital del módulo de riego (datos automáticos, sin intervención del productor). Requiere acuerdo formal con el módulo DR-041 — negociar en Año 1. Solución posible B: registro simplificado vía WhatsApp en 2 pasos ('¿regaste hoy? ¿cuánto?'). Reduce fricción a &lt;30 segundos. Costo: integración WhatsApp Business API (~$5,000 MXN/mes).</w:t>
      </w:r>
    </w:p>
    <w:p>
      <w:pPr>
        <w:spacing w:after="40"/>
      </w:pPr>
    </w:p>
    <w:p>
      <w:pPr>
        <w:pStyle w:val="Heading3"/>
      </w:pPr>
      <w:r>
        <w:rPr>
          <w:rFonts w:ascii="Arial" w:hAnsi="Arial"/>
          <w:color w:val="404040"/>
          <w:sz w:val="22"/>
        </w:rPr>
        <w:t>Fricción 3: Desfase de flujo de caja estacional</w:t>
      </w:r>
    </w:p>
    <w:p>
      <w:pPr>
        <w:spacing w:after="120"/>
        <w:jc w:val="left"/>
      </w:pPr>
      <w:r>
        <w:rPr>
          <w:rFonts w:ascii="Arial" w:hAnsi="Arial"/>
          <w:b w:val="0"/>
          <w:i w:val="0"/>
          <w:sz w:val="22"/>
        </w:rPr>
        <w:t>Los ingresos SaaS agrícola se concentran al inicio de cada ciclo (Octubre y Mayo). Entre el cierre de un ciclo y el inicio del siguiente, el flujo de caja mensual es prácticamente cero. Con OPEX mensual de $58,000–142,000 MXN en Años 1–3, la empresa necesita una reserva de 3–4 meses para cubrir los valles intertemporales, o una línea de crédito revolvente.</w:t>
      </w:r>
    </w:p>
    <w:p>
      <w:pPr>
        <w:spacing w:before="80" w:after="160"/>
        <w:ind w:left="216"/>
        <w:shd w:val="clear" w:color="auto" w:fill="E2EFDA"/>
        <w:pBdr>
          <w:left w:val="single" w:sz="18" w:space="4" w:color="27AE60"/>
        </w:pBdr>
      </w:pPr>
      <w:r>
        <w:rPr>
          <w:rFonts w:ascii="Arial" w:hAnsi="Arial"/>
          <w:i/>
          <w:color w:val="333333"/>
          <w:sz w:val="20"/>
        </w:rPr>
        <w:t>Solución: facturación anual por adelantado con descuento del 10% (mejora flujo de caja) + línea de crédito FIRA de $500,000 MXN como colchón estacional.</w:t>
      </w:r>
    </w:p>
    <w:p>
      <w:pPr>
        <w:spacing w:after="40"/>
      </w:pPr>
    </w:p>
    <w:p>
      <w:pPr>
        <w:pStyle w:val="Heading3"/>
      </w:pPr>
      <w:r>
        <w:rPr>
          <w:rFonts w:ascii="Arial" w:hAnsi="Arial"/>
          <w:color w:val="404040"/>
          <w:sz w:val="22"/>
        </w:rPr>
        <w:t>Fricción 4: Whisper sin GPU en producción</w:t>
      </w:r>
    </w:p>
    <w:p>
      <w:pPr>
        <w:spacing w:after="120"/>
        <w:jc w:val="left"/>
      </w:pPr>
      <w:r>
        <w:rPr>
          <w:rFonts w:ascii="Arial" w:hAnsi="Arial"/>
          <w:b w:val="0"/>
          <w:i w:val="0"/>
          <w:sz w:val="22"/>
        </w:rPr>
        <w:t>Whisper local en CPU produce latencias de 15–30 segundos para audios de 10–15 segundos. Esto hace el sistema de voz inutilizable en producción. La voz es el diferenciador clave de MILPÍN para productores con baja alfabetización digital; si no funciona en tiempo real, el diferenciador desaparece y el sistema se reduce a una app web como cualquier otra.</w:t>
      </w:r>
    </w:p>
    <w:p>
      <w:pPr>
        <w:spacing w:before="80" w:after="160"/>
        <w:ind w:left="216"/>
        <w:shd w:val="clear" w:color="auto" w:fill="E2EFDA"/>
        <w:pBdr>
          <w:left w:val="single" w:sz="18" w:space="4" w:color="27AE60"/>
        </w:pBdr>
      </w:pPr>
      <w:r>
        <w:rPr>
          <w:rFonts w:ascii="Arial" w:hAnsi="Arial"/>
          <w:i/>
          <w:color w:val="333333"/>
          <w:sz w:val="20"/>
        </w:rPr>
        <w:t>Solución A (corto plazo): comprimir respuestas de voz a &lt;5 palabras clave; transcribir solo en segundo plano. TTS en español via Web Speech API no requiere servidor. Solución B (escala): OpenAI Whisper API ($0.006/min) o worker GPU compartido (~$8,000 MXN/mes por GPU dedicada en cloud).</w:t>
      </w:r>
    </w:p>
    <w:p>
      <w:pPr>
        <w:spacing w:after="40"/>
      </w:pPr>
    </w:p>
    <w:p>
      <w:pPr>
        <w:pStyle w:val="Heading3"/>
      </w:pPr>
      <w:r>
        <w:rPr>
          <w:rFonts w:ascii="Arial" w:hAnsi="Arial"/>
          <w:color w:val="404040"/>
          <w:sz w:val="22"/>
        </w:rPr>
        <w:t>Fricción 5: Dependencia no contractual de NASA POWER</w:t>
      </w:r>
    </w:p>
    <w:p>
      <w:pPr>
        <w:spacing w:after="120"/>
        <w:jc w:val="left"/>
      </w:pPr>
      <w:r>
        <w:rPr>
          <w:rFonts w:ascii="Arial" w:hAnsi="Arial"/>
          <w:b w:val="0"/>
          <w:i w:val="0"/>
          <w:sz w:val="22"/>
        </w:rPr>
        <w:t>La API de NASA POWER no garantiza SLA para uso comercial. En 2022 sufrió un cambio de schema no documentado que rompió integraciones de terceros durante 9 días. El caché de 30 días mitiga interrupciones cortas, pero no un cambio de API o discontinuación del servicio. No existe mecanismo de notificación formal para usuarios comerciales.</w:t>
      </w:r>
    </w:p>
    <w:p>
      <w:pPr>
        <w:spacing w:before="80" w:after="160"/>
        <w:ind w:left="216"/>
        <w:shd w:val="clear" w:color="auto" w:fill="E2EFDA"/>
        <w:pBdr>
          <w:left w:val="single" w:sz="18" w:space="4" w:color="27AE60"/>
        </w:pBdr>
      </w:pPr>
      <w:r>
        <w:rPr>
          <w:rFonts w:ascii="Arial" w:hAnsi="Arial"/>
          <w:i/>
          <w:color w:val="333333"/>
          <w:sz w:val="20"/>
        </w:rPr>
        <w:t>Solución: implementar NOAA Climate Data Online como fuente alternativa + tests de ingesta automáticos diarios con alerta por email si falla. Costo: 1–2 semanas de desarrollo. Acción inmediata: suscribirse a la lista de cambios de NASA POWER en earthdata.nasa.gov.</w:t>
      </w:r>
    </w:p>
    <w:p>
      <w:pPr>
        <w:spacing w:after="40"/>
      </w:pPr>
    </w:p>
    <w:p>
      <w:pPr>
        <w:pStyle w:val="Heading3"/>
      </w:pPr>
      <w:r>
        <w:rPr>
          <w:rFonts w:ascii="Arial" w:hAnsi="Arial"/>
          <w:color w:val="404040"/>
          <w:sz w:val="22"/>
        </w:rPr>
        <w:t>Fricción 6: Competencia gratuita institucional</w:t>
      </w:r>
    </w:p>
    <w:p>
      <w:pPr>
        <w:spacing w:after="120"/>
        <w:jc w:val="left"/>
      </w:pPr>
      <w:r>
        <w:rPr>
          <w:rFonts w:ascii="Arial" w:hAnsi="Arial"/>
          <w:b w:val="0"/>
          <w:i w:val="0"/>
          <w:sz w:val="22"/>
        </w:rPr>
        <w:t>CONAGUA y el IMTA están desarrollando herramientas de gestión de distritos de riego. El estándar FAO-56 es open-source — técnicamente trivial de reimplementar. Si una institución pública lanza una app gratuita con funcionalidades básicas de recomendación de riego, el modelo de precios de MILPÍN en el segmento institucional queda directamente presionado a la baja.</w:t>
      </w:r>
    </w:p>
    <w:p>
      <w:pPr>
        <w:spacing w:before="80" w:after="160"/>
        <w:ind w:left="216"/>
        <w:shd w:val="clear" w:color="auto" w:fill="E2EFDA"/>
        <w:pBdr>
          <w:left w:val="single" w:sz="18" w:space="4" w:color="27AE60"/>
        </w:pBdr>
      </w:pPr>
      <w:r>
        <w:rPr>
          <w:rFonts w:ascii="Arial" w:hAnsi="Arial"/>
          <w:i/>
          <w:color w:val="333333"/>
          <w:sz w:val="20"/>
        </w:rPr>
        <w:t>Mitigación: diferenciarse en calidad de experiencia (voz contextualizada, GIS parcela a parcela, historial individual y trazabilidad CONAGUA) que ninguna herramienta institucional priorizará. La barrera no es el algoritmo — es la UX y la confianza generada en campo con el productor.</w:t>
      </w:r>
    </w:p>
    <w:p>
      <w:r>
        <w:br w:type="page"/>
      </w:r>
    </w:p>
    <w:p>
      <w:pPr>
        <w:pStyle w:val="Heading1"/>
      </w:pPr>
      <w:r>
        <w:rPr>
          <w:rFonts w:ascii="Arial" w:hAnsi="Arial"/>
          <w:color w:val="1F3864"/>
          <w:sz w:val="32"/>
        </w:rPr>
        <w:t>IX. Estrategia de Financiamiento</w:t>
      </w:r>
    </w:p>
    <w:p>
      <w:pPr>
        <w:pStyle w:val="Heading2"/>
      </w:pPr>
      <w:r>
        <w:rPr>
          <w:rFonts w:ascii="Arial" w:hAnsi="Arial"/>
          <w:color w:val="2E75B6"/>
          <w:sz w:val="26"/>
        </w:rPr>
        <w:t>9.1 Capital Propio (Bootstrapping)</w:t>
      </w:r>
    </w:p>
    <w:p>
      <w:pPr>
        <w:spacing w:after="120"/>
        <w:jc w:val="left"/>
      </w:pPr>
      <w:r>
        <w:rPr>
          <w:rFonts w:ascii="Arial" w:hAnsi="Arial"/>
          <w:b w:val="0"/>
          <w:i w:val="0"/>
          <w:sz w:val="22"/>
        </w:rPr>
        <w:t>La inversión inicial de $450,000 MXN puede cubrirse parcialmente con capital propio del equipo fundador ($150,000–200,000 MXN). El código fuente y la validación técnica (77 tests, motor FAO-56 operativo con PostGIS) ya están completados, reduciendo el riesgo tecnológico para cualquier inversionista. Sin embargo, el capital propio no cubre el déficit de los Años 1–2 (~$1.3M MXN adicionales). Se requiere financiamiento externo obligatoriamente.</w:t>
      </w:r>
    </w:p>
    <w:p>
      <w:pPr>
        <w:spacing w:after="40"/>
      </w:pPr>
    </w:p>
    <w:p>
      <w:pPr>
        <w:pStyle w:val="Heading2"/>
      </w:pPr>
      <w:r>
        <w:rPr>
          <w:rFonts w:ascii="Arial" w:hAnsi="Arial"/>
          <w:color w:val="2E75B6"/>
          <w:sz w:val="26"/>
        </w:rPr>
        <w:t>9.2 Fondos Públicos y Programas Institucionales</w:t>
      </w:r>
    </w:p>
    <w:p>
      <w:pPr>
        <w:spacing w:after="120"/>
      </w:pPr>
      <w:r>
        <w:rPr>
          <w:rFonts w:ascii="Arial" w:hAnsi="Arial"/>
          <w:b/>
          <w:i w:val="0"/>
          <w:sz w:val="20"/>
        </w:rPr>
        <w:t xml:space="preserve">CONAHCYT — PITN: </w:t>
      </w:r>
      <w:r>
        <w:rPr>
          <w:rFonts w:ascii="Arial" w:hAnsi="Arial"/>
          <w:b w:val="0"/>
          <w:i w:val="0"/>
          <w:sz w:val="20"/>
        </w:rPr>
        <w:t>hasta $3,000,000 MXN para proyectos con impacto en agua y seguridad alimentaria.</w:t>
      </w:r>
    </w:p>
    <w:p>
      <w:pPr>
        <w:spacing w:after="120"/>
      </w:pPr>
      <w:r>
        <w:rPr>
          <w:rFonts w:ascii="Arial" w:hAnsi="Arial"/>
          <w:b/>
          <w:i w:val="0"/>
          <w:sz w:val="20"/>
        </w:rPr>
        <w:t xml:space="preserve">FIRA: </w:t>
      </w:r>
      <w:r>
        <w:rPr>
          <w:rFonts w:ascii="Arial" w:hAnsi="Arial"/>
          <w:b w:val="0"/>
          <w:i w:val="0"/>
          <w:sz w:val="20"/>
        </w:rPr>
        <w:t>créditos blandos y garantías para agronegocios. Tasa preferencial 8–10% anual.</w:t>
      </w:r>
    </w:p>
    <w:p>
      <w:pPr>
        <w:spacing w:after="120"/>
      </w:pPr>
      <w:r>
        <w:rPr>
          <w:rFonts w:ascii="Arial" w:hAnsi="Arial"/>
          <w:b/>
          <w:i w:val="0"/>
          <w:sz w:val="20"/>
        </w:rPr>
        <w:t xml:space="preserve">INADEM / SE: </w:t>
      </w:r>
      <w:r>
        <w:rPr>
          <w:rFonts w:ascii="Arial" w:hAnsi="Arial"/>
          <w:b w:val="0"/>
          <w:i w:val="0"/>
          <w:sz w:val="20"/>
        </w:rPr>
        <w:t>apoyos no reembolsables de $500K–1M MXN para startups en validación de mercado.</w:t>
      </w:r>
    </w:p>
    <w:p>
      <w:pPr>
        <w:spacing w:after="120"/>
      </w:pPr>
      <w:r>
        <w:rPr>
          <w:rFonts w:ascii="Arial" w:hAnsi="Arial"/>
          <w:b/>
          <w:i w:val="0"/>
          <w:sz w:val="20"/>
        </w:rPr>
        <w:t xml:space="preserve">CONAGUA — PROMARNAT: </w:t>
      </w:r>
      <w:r>
        <w:rPr>
          <w:rFonts w:ascii="Arial" w:hAnsi="Arial"/>
          <w:b w:val="0"/>
          <w:i w:val="0"/>
          <w:sz w:val="20"/>
        </w:rPr>
        <w:t>financiamiento para proyectos de eficiencia hídrica en distritos de riego.</w:t>
      </w:r>
    </w:p>
    <w:p>
      <w:pPr>
        <w:spacing w:after="40"/>
      </w:pPr>
    </w:p>
    <w:p>
      <w:pPr>
        <w:pStyle w:val="Heading2"/>
      </w:pPr>
      <w:r>
        <w:rPr>
          <w:rFonts w:ascii="Arial" w:hAnsi="Arial"/>
          <w:color w:val="2E75B6"/>
          <w:sz w:val="26"/>
        </w:rPr>
        <w:t>9.3 Inversión Ángel y Capital Semilla</w:t>
      </w:r>
    </w:p>
    <w:p>
      <w:pPr>
        <w:spacing w:after="120"/>
        <w:jc w:val="left"/>
      </w:pPr>
      <w:r>
        <w:rPr>
          <w:rFonts w:ascii="Arial" w:hAnsi="Arial"/>
          <w:b w:val="0"/>
          <w:i w:val="0"/>
          <w:sz w:val="22"/>
        </w:rPr>
        <w:t>Para la ronda semilla ($2–5 M MXN), el mercado objetivo son inversionistas ángel especializados en AgTech y/o impacto ambiental en México: Angel Ventures México, IGNIA Fund, DILA Capital. La propuesta para el inversionista: mercado SAM de $540M MXN, TIR ~31% a 5 años, barrera de entrada real (validación científica FAO-56 + conocimiento local del DR-041), y un equipo técnico con prototipo funcional con 77 tests automatizados.</w:t>
      </w:r>
    </w:p>
    <w:p>
      <w:pPr>
        <w:spacing w:after="40"/>
      </w:pPr>
    </w:p>
    <w:p>
      <w:pPr>
        <w:pStyle w:val="Heading2"/>
      </w:pPr>
      <w:r>
        <w:rPr>
          <w:rFonts w:ascii="Arial" w:hAnsi="Arial"/>
          <w:color w:val="2E75B6"/>
          <w:sz w:val="26"/>
        </w:rPr>
        <w:t>9.4 Modelo Recomendado</w:t>
      </w:r>
    </w:p>
    <w:p>
      <w:pPr>
        <w:spacing w:after="120"/>
        <w:jc w:val="left"/>
      </w:pPr>
      <w:r>
        <w:rPr>
          <w:rFonts w:ascii="Arial" w:hAnsi="Arial"/>
          <w:b w:val="0"/>
          <w:i w:val="0"/>
          <w:sz w:val="22"/>
        </w:rPr>
        <w:t>Estrategia híbrida: (1) Capital propio + CONAHCYT para cubrir CAPEX y cubrir Año 1; (2) Demostración de ahorro en ciclo piloto con métricas reales como caso de negocio; (3) Ronda ángel de $3–5 M MXN al inicio del Año 2 para escalar ventas y equipo. Este camino evita dilución prematura y permite negociar valoración con métricas de tracción: ha bajo gestión, ahorro comprobado por ciclo, NPS de productores del Módulo 3.</w:t>
      </w:r>
    </w:p>
    <w:p>
      <w:r>
        <w:br w:type="page"/>
      </w:r>
    </w:p>
    <w:p>
      <w:pPr>
        <w:pStyle w:val="Heading1"/>
      </w:pPr>
      <w:r>
        <w:rPr>
          <w:rFonts w:ascii="Arial" w:hAnsi="Arial"/>
          <w:color w:val="1F3864"/>
          <w:sz w:val="32"/>
        </w:rPr>
        <w:t>X. Evaluación de Viabilidad Integral</w:t>
      </w:r>
    </w:p>
    <w:p>
      <w:pPr>
        <w:pStyle w:val="Heading2"/>
      </w:pPr>
      <w:r>
        <w:rPr>
          <w:rFonts w:ascii="Arial" w:hAnsi="Arial"/>
          <w:color w:val="2E75B6"/>
          <w:sz w:val="26"/>
        </w:rPr>
        <w:t>10.1 Viabilidad Económica</w:t>
      </w:r>
    </w:p>
    <w:p>
      <w:pPr>
        <w:spacing w:after="120"/>
        <w:jc w:val="left"/>
      </w:pPr>
      <w:r>
        <w:rPr>
          <w:rFonts w:ascii="Arial" w:hAnsi="Arial"/>
          <w:b w:val="0"/>
          <w:i w:val="0"/>
          <w:sz w:val="22"/>
        </w:rPr>
        <w:t>El VAN positivo de +$1,198,935 MXN a 5 años (escenario base) y la TIR estimada del 31% confirman que el proyecto genera valor económico, pero con horizonte de 5 años, no 3. El modelo SaaS es el más recomendado para la fase de arranque por su predecibilidad de ingresos. El modelo de pago por desempeño es más atractivo para el productor pero contractualmente indefendible hasta que el registro de riegos sea automático o tenga compliance &gt;80%.</w:t>
      </w:r>
    </w:p>
    <w:p>
      <w:pPr>
        <w:spacing w:before="80" w:after="160"/>
        <w:ind w:left="216"/>
        <w:shd w:val="clear" w:color="auto" w:fill="FFDCE1"/>
        <w:pBdr>
          <w:left w:val="single" w:sz="18" w:space="4" w:color="C0392B"/>
        </w:pBdr>
      </w:pPr>
      <w:r>
        <w:rPr>
          <w:rFonts w:ascii="Arial" w:hAnsi="Arial"/>
          <w:i/>
          <w:color w:val="333333"/>
          <w:sz w:val="20"/>
        </w:rPr>
        <w:t>El proyecto NO es viable si no consigue financiamiento externo de ~$1.3–1.8M MXN para cubrir el déficit de los Años 1–3. El bootstrapping puro con $450K de CAPEX termina en insolvencia en el Mes 7 del Año 1 con la estructura de costos actual.</w:t>
      </w:r>
    </w:p>
    <w:p>
      <w:pPr>
        <w:spacing w:after="40"/>
      </w:pPr>
    </w:p>
    <w:p>
      <w:pPr>
        <w:pStyle w:val="Heading2"/>
      </w:pPr>
      <w:r>
        <w:rPr>
          <w:rFonts w:ascii="Arial" w:hAnsi="Arial"/>
          <w:color w:val="2E75B6"/>
          <w:sz w:val="26"/>
        </w:rPr>
        <w:t>10.2 Impacto Social</w:t>
      </w:r>
    </w:p>
    <w:p>
      <w:pPr>
        <w:spacing w:after="120"/>
        <w:jc w:val="left"/>
      </w:pPr>
      <w:r>
        <w:rPr>
          <w:rFonts w:ascii="Arial" w:hAnsi="Arial"/>
          <w:b w:val="0"/>
          <w:i w:val="0"/>
          <w:sz w:val="22"/>
        </w:rPr>
        <w:t>MILPÍN reduce la brecha tecnológica entre el pequeño productor y las grandes agroindustrias al hacer accesible el motor FAO-56 mediante una interfaz de voz en español. El historial de riego generado construye un activo de datos que mejora el acceso al crédito agrícola (FIRA), ya que las instituciones financieras valoran la trazabilidad productiva.</w:t>
      </w:r>
    </w:p>
    <w:p>
      <w:pPr>
        <w:spacing w:after="40"/>
      </w:pPr>
    </w:p>
    <w:p>
      <w:pPr>
        <w:pStyle w:val="Heading2"/>
      </w:pPr>
      <w:r>
        <w:rPr>
          <w:rFonts w:ascii="Arial" w:hAnsi="Arial"/>
          <w:color w:val="2E75B6"/>
          <w:sz w:val="26"/>
        </w:rPr>
        <w:t>10.3 Impacto Ambiental</w:t>
      </w:r>
    </w:p>
    <w:p>
      <w:pPr>
        <w:spacing w:after="120"/>
        <w:jc w:val="left"/>
      </w:pPr>
      <w:r>
        <w:rPr>
          <w:rFonts w:ascii="Arial" w:hAnsi="Arial"/>
          <w:b w:val="0"/>
          <w:i w:val="0"/>
          <w:sz w:val="22"/>
        </w:rPr>
        <w:t>Cada hectárea bajo gestión MILPÍN tiene el potencial de reducir entre 960 m³ y 2,240 m³ de extracción por ciclo (rango 12–28%). Si se alcanza la meta SOM de 60,000 ha en los distritos objetivo, el ahorro potencial es de 57–134 millones de m³ por ciclo. Este impacto contribuye directamente al ODS 6 (Agua limpia y saneamiento) y ODS 13 (Acción por el clima).</w:t>
      </w:r>
    </w:p>
    <w:p>
      <w:pPr>
        <w:spacing w:after="40"/>
      </w:pPr>
    </w:p>
    <w:p>
      <w:pPr>
        <w:pStyle w:val="Heading2"/>
      </w:pPr>
      <w:r>
        <w:rPr>
          <w:rFonts w:ascii="Arial" w:hAnsi="Arial"/>
          <w:color w:val="2E75B6"/>
          <w:sz w:val="26"/>
        </w:rPr>
        <w:t>10.4 Sostenibilidad del Modelo</w:t>
      </w:r>
    </w:p>
    <w:p>
      <w:pPr>
        <w:spacing w:after="120"/>
        <w:jc w:val="left"/>
      </w:pPr>
      <w:r>
        <w:rPr>
          <w:rFonts w:ascii="Arial" w:hAnsi="Arial"/>
          <w:b w:val="0"/>
          <w:i w:val="0"/>
          <w:sz w:val="22"/>
        </w:rPr>
        <w:t>MILPÍN es sostenible porque su motor de cálculo (FAO-56 + NASA POWER) tiene costo marginal prácticamente nulo y escala horizontalmente. El único insumo variable significativo es la infraestructura cloud (crece logarítmicamente con usuarios) y el costo del promotor de campo (crece linealmente con ha bajo gestión, pero disminuye en % de revenue a escala).</w:t>
      </w:r>
    </w:p>
    <w:p>
      <w:r>
        <w:br w:type="page"/>
      </w:r>
    </w:p>
    <w:p>
      <w:pPr>
        <w:pStyle w:val="Heading1"/>
      </w:pPr>
      <w:r>
        <w:rPr>
          <w:rFonts w:ascii="Arial" w:hAnsi="Arial"/>
          <w:color w:val="1F3864"/>
          <w:sz w:val="32"/>
        </w:rPr>
        <w:t>PARTE II — ANÁLISIS DE DILEMAS DEL INCIDENTE CRÍTICO</w:t>
      </w:r>
    </w:p>
    <w:p>
      <w:pPr>
        <w:spacing w:after="120"/>
        <w:jc w:val="left"/>
      </w:pPr>
      <w:r>
        <w:rPr>
          <w:rFonts w:ascii="Arial" w:hAnsi="Arial"/>
          <w:b w:val="0"/>
          <w:i/>
          <w:sz w:val="22"/>
        </w:rPr>
        <w:t>Respuesta argumentada por materia a los dilemas teóricos y éticos planteados</w:t>
      </w:r>
    </w:p>
    <w:p>
      <w:pPr>
        <w:spacing w:after="40"/>
      </w:pPr>
    </w:p>
    <w:p>
      <w:pPr>
        <w:pStyle w:val="Heading1"/>
      </w:pPr>
      <w:r>
        <w:rPr>
          <w:rFonts w:ascii="Arial" w:hAnsi="Arial"/>
          <w:color w:val="1F3864"/>
          <w:sz w:val="32"/>
        </w:rPr>
        <w:t>XI. Cómputo Cognitivo: Calidad de Dato e Incertidumbre</w:t>
      </w:r>
    </w:p>
    <w:p>
      <w:pPr>
        <w:pStyle w:val="Heading2"/>
      </w:pPr>
      <w:r>
        <w:rPr>
          <w:rFonts w:ascii="Arial" w:hAnsi="Arial"/>
          <w:color w:val="2E75B6"/>
          <w:sz w:val="26"/>
        </w:rPr>
        <w:t>11.1 ¿Es aceptable recomendar con datos incompletos?</w:t>
      </w:r>
    </w:p>
    <w:p>
      <w:pPr>
        <w:spacing w:after="120"/>
        <w:jc w:val="left"/>
      </w:pPr>
      <w:r>
        <w:rPr>
          <w:rFonts w:ascii="Arial" w:hAnsi="Arial"/>
          <w:b w:val="0"/>
          <w:i w:val="0"/>
          <w:sz w:val="22"/>
        </w:rPr>
        <w:t>Sí, bajo condiciones explícitas y con mecanismos de salvaguarda. La alternativa —no emitir recomendación hasta tener datos perfectos— mantiene al productor en el estado actual de sobreirrigación sistemática, cuantificada como un daño real de 960–2,240 m³/ha por ciclo (rango 12–28%, no un puntual de 2,000 m³). El principio ético relevante es el del menor perjuicio (Allen et al., 1998): una recomendación con incertidumbre controlada y declarada es preferible a la ausencia de orientación.</w:t>
      </w:r>
    </w:p>
    <w:p>
      <w:pPr>
        <w:spacing w:after="120"/>
        <w:jc w:val="left"/>
      </w:pPr>
      <w:r>
        <w:rPr>
          <w:rFonts w:ascii="Arial" w:hAnsi="Arial"/>
          <w:b w:val="0"/>
          <w:i w:val="0"/>
          <w:sz w:val="22"/>
        </w:rPr>
        <w:t>MILPÍN implementa tres salvaguardas técnicas: (1) Hargreaves como fallback cuando datos de NASA POWER no están disponibles; (2) propagar_balance_hidrico() que sustituye humedad inicial inventada por balance acumulado real; (3) nivel de urgencia en la recomendación que comunica no solo qué hacer sino con qué certeza.</w:t>
      </w:r>
    </w:p>
    <w:p>
      <w:pPr>
        <w:spacing w:before="80" w:after="160"/>
        <w:ind w:left="216"/>
        <w:shd w:val="clear" w:color="auto" w:fill="FFF2CC"/>
        <w:pBdr>
          <w:left w:val="single" w:sz="18" w:space="4" w:color="F0A000"/>
        </w:pBdr>
      </w:pPr>
      <w:r>
        <w:rPr>
          <w:rFonts w:ascii="Arial" w:hAnsi="Arial"/>
          <w:i/>
          <w:color w:val="333333"/>
          <w:sz w:val="20"/>
        </w:rPr>
        <w:t>Límite: el sistema nunca debe emitir recomendación con DATO INVÁLIDO (&gt;20% de datos faltantes o deriva PSI&gt;0.2) sin notificar explícitamente al productor. Esto no estaba documentado en la interfaz de usuario de la versión pre-MVP — pendiente de implementar.</w:t>
      </w:r>
    </w:p>
    <w:p>
      <w:pPr>
        <w:spacing w:after="40"/>
      </w:pPr>
    </w:p>
    <w:p>
      <w:pPr>
        <w:pStyle w:val="Heading2"/>
      </w:pPr>
      <w:r>
        <w:rPr>
          <w:rFonts w:ascii="Arial" w:hAnsi="Arial"/>
          <w:color w:val="2E75B6"/>
          <w:sz w:val="26"/>
        </w:rPr>
        <w:t>11.2 ¿Cómo comunicar incertidumbre sin paralizar la decisión operativa?</w:t>
      </w:r>
    </w:p>
    <w:p>
      <w:pPr>
        <w:spacing w:after="120"/>
        <w:jc w:val="left"/>
      </w:pPr>
      <w:r>
        <w:rPr>
          <w:rFonts w:ascii="Arial" w:hAnsi="Arial"/>
          <w:b w:val="0"/>
          <w:i w:val="0"/>
          <w:sz w:val="22"/>
        </w:rPr>
        <w:t>La clave es transformar la incertidumbre en rangos accionables. MILPÍN adopta el principio de 'incertidumbre operable' (OECD, 2019): en lugar de mostrar un intervalo de confianza estadístico, el sistema clasifica el estado de la parcela en tres categorías con instrucción directa:</w:t>
      </w:r>
    </w:p>
    <w:p>
      <w:pPr>
        <w:spacing w:after="60"/>
      </w:pPr>
      <w:r>
        <w:rPr>
          <w:rFonts w:ascii="Arial" w:hAnsi="Arial"/>
          <w:b/>
          <w:i w:val="0"/>
          <w:sz w:val="20"/>
        </w:rPr>
        <w:t xml:space="preserve">CRITICO (≥90% de probabilidad de estrés hídrico en 24h): </w:t>
      </w:r>
      <w:r>
        <w:rPr>
          <w:rFonts w:ascii="Arial" w:hAnsi="Arial"/>
          <w:b w:val="0"/>
          <w:i w:val="0"/>
          <w:sz w:val="20"/>
        </w:rPr>
        <w:t>Riegue hoy. Volumen estimado: X m³.</w:t>
      </w:r>
    </w:p>
    <w:p>
      <w:pPr>
        <w:spacing w:after="60"/>
      </w:pPr>
      <w:r>
        <w:rPr>
          <w:rFonts w:ascii="Arial" w:hAnsi="Arial"/>
          <w:b/>
          <w:i w:val="0"/>
          <w:sz w:val="20"/>
        </w:rPr>
        <w:t xml:space="preserve">ALTO (70–89%): </w:t>
      </w:r>
      <w:r>
        <w:rPr>
          <w:rFonts w:ascii="Arial" w:hAnsi="Arial"/>
          <w:b w:val="0"/>
          <w:i w:val="0"/>
          <w:sz w:val="20"/>
        </w:rPr>
        <w:t>Riegue en los próximos 2 días. Puede esperar si llueve.</w:t>
      </w:r>
    </w:p>
    <w:p>
      <w:pPr>
        <w:spacing w:after="60"/>
      </w:pPr>
      <w:r>
        <w:rPr>
          <w:rFonts w:ascii="Arial" w:hAnsi="Arial"/>
          <w:b/>
          <w:i w:val="0"/>
          <w:sz w:val="20"/>
        </w:rPr>
        <w:t xml:space="preserve">NORMAL (&lt;70%): </w:t>
      </w:r>
      <w:r>
        <w:rPr>
          <w:rFonts w:ascii="Arial" w:hAnsi="Arial"/>
          <w:b w:val="0"/>
          <w:i w:val="0"/>
          <w:sz w:val="20"/>
        </w:rPr>
        <w:t>Sin necesidad inmediata. Próximo riego estimado en N días.</w:t>
      </w:r>
    </w:p>
    <w:p>
      <w:pPr>
        <w:spacing w:after="40"/>
      </w:pPr>
    </w:p>
    <w:p>
      <w:pPr>
        <w:pStyle w:val="Heading2"/>
      </w:pPr>
      <w:r>
        <w:rPr>
          <w:rFonts w:ascii="Arial" w:hAnsi="Arial"/>
          <w:color w:val="2E75B6"/>
          <w:sz w:val="26"/>
        </w:rPr>
        <w:t>11.3 ¿Cómo equilibrar interpretabilidad y precisión?</w:t>
      </w:r>
    </w:p>
    <w:p>
      <w:pPr>
        <w:spacing w:after="120"/>
        <w:jc w:val="left"/>
      </w:pPr>
      <w:r>
        <w:rPr>
          <w:rFonts w:ascii="Arial" w:hAnsi="Arial"/>
          <w:b w:val="0"/>
          <w:i w:val="0"/>
          <w:sz w:val="22"/>
        </w:rPr>
        <w:t>MILPÍN resuelve este dilema con arquitectura de dos capas: la capa superficial muestra la recomendación en lenguaje natural ('Riegue 1,200 m³ hoy, margen ±240 m³'); la capa profunda, accesible bajo demanda, expone los valores FAO-56 que la sustentan (ETo = 6.2 mm/d, Kc = 1.05, deficit = 42 mm). El modelo Ridge Regression del forecast ETo es intencionalmente simple (no deep learning) para facilitar la auditoría agronómica. La versión anterior no incluía el margen de error (±240 m³) en la capa superficial — esto es una deuda de diseño de interfaz.</w:t>
      </w:r>
    </w:p>
    <w:p>
      <w:r>
        <w:br w:type="page"/>
      </w:r>
    </w:p>
    <w:p>
      <w:pPr>
        <w:pStyle w:val="Heading1"/>
      </w:pPr>
      <w:r>
        <w:rPr>
          <w:rFonts w:ascii="Arial" w:hAnsi="Arial"/>
          <w:color w:val="1F3864"/>
          <w:sz w:val="32"/>
        </w:rPr>
        <w:t>XII. Sistemas de Información: Umbrales y Responsabilidad</w:t>
      </w:r>
    </w:p>
    <w:p>
      <w:pPr>
        <w:pStyle w:val="Heading2"/>
      </w:pPr>
      <w:r>
        <w:rPr>
          <w:rFonts w:ascii="Arial" w:hAnsi="Arial"/>
          <w:color w:val="2E75B6"/>
          <w:sz w:val="26"/>
        </w:rPr>
        <w:t>12.1 Umbrales de calidad que deben activar validación humana</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val="clear" w:color="auto" w:fill="1F3864"/>
            <w:tcMar>
              <w:top w:w="80" w:type="dxa"/>
              <w:bottom w:w="80" w:type="dxa"/>
              <w:left w:w="120" w:type="dxa"/>
              <w:right w:w="120" w:type="dxa"/>
            </w:tcMar>
            <w:tcW w:w="2304" w:type="dxa"/>
          </w:tcPr>
          <w:p>
            <w:pPr>
              <w:jc w:val="center"/>
            </w:pPr>
            <w:r>
              <w:rPr>
                <w:rFonts w:ascii="Arial" w:hAnsi="Arial"/>
                <w:b/>
                <w:color w:val="FFFFFF"/>
                <w:sz w:val="18"/>
              </w:rPr>
              <w:t>Estado del dato</w:t>
            </w:r>
          </w:p>
        </w:tc>
        <w:tc>
          <w:tcPr>
            <w:tcW w:type="dxa" w:w="2880"/>
            <w:vAlign w:val="center"/>
            <w:shd w:val="clear" w:color="auto" w:fill="1F3864"/>
            <w:tcMar>
              <w:top w:w="80" w:type="dxa"/>
              <w:bottom w:w="80" w:type="dxa"/>
              <w:left w:w="120" w:type="dxa"/>
              <w:right w:w="120" w:type="dxa"/>
            </w:tcMar>
            <w:tcW w:w="4031" w:type="dxa"/>
          </w:tcPr>
          <w:p>
            <w:pPr>
              <w:jc w:val="center"/>
            </w:pPr>
            <w:r>
              <w:rPr>
                <w:rFonts w:ascii="Arial" w:hAnsi="Arial"/>
                <w:b/>
                <w:color w:val="FFFFFF"/>
                <w:sz w:val="18"/>
              </w:rPr>
              <w:t>Condición de activación</w:t>
            </w:r>
          </w:p>
        </w:tc>
        <w:tc>
          <w:tcPr>
            <w:tcW w:type="dxa" w:w="2880"/>
            <w:vAlign w:val="center"/>
            <w:shd w:val="clear" w:color="auto" w:fill="1F3864"/>
            <w:tcMar>
              <w:top w:w="80" w:type="dxa"/>
              <w:bottom w:w="80" w:type="dxa"/>
              <w:left w:w="120" w:type="dxa"/>
              <w:right w:w="120" w:type="dxa"/>
            </w:tcMar>
            <w:tcW w:w="4320" w:type="dxa"/>
          </w:tcPr>
          <w:p>
            <w:pPr>
              <w:jc w:val="center"/>
            </w:pPr>
            <w:r>
              <w:rPr>
                <w:rFonts w:ascii="Arial" w:hAnsi="Arial"/>
                <w:b/>
                <w:color w:val="FFFFFF"/>
                <w:sz w:val="18"/>
              </w:rPr>
              <w:t>Acción del sistema</w:t>
            </w:r>
          </w:p>
        </w:tc>
      </w:tr>
      <w:tr>
        <w:tc>
          <w:tcPr>
            <w:tcW w:type="dxa" w:w="2880"/>
            <w:vAlign w:val="center"/>
            <w:shd w:val="clear" w:color="auto" w:fill="F2F2F2"/>
            <w:tcMar>
              <w:top w:w="80" w:type="dxa"/>
              <w:bottom w:w="80" w:type="dxa"/>
              <w:left w:w="120" w:type="dxa"/>
              <w:right w:w="120" w:type="dxa"/>
            </w:tcMar>
            <w:tcW w:w="2304" w:type="dxa"/>
          </w:tcPr>
          <w:p>
            <w:pPr>
              <w:jc w:val="left"/>
            </w:pPr>
            <w:r>
              <w:rPr>
                <w:rFonts w:ascii="Arial" w:hAnsi="Arial"/>
                <w:b w:val="0"/>
                <w:sz w:val="18"/>
              </w:rPr>
              <w:t>DATO VÁLIDO</w:t>
            </w:r>
          </w:p>
        </w:tc>
        <w:tc>
          <w:tcPr>
            <w:tcW w:type="dxa" w:w="2880"/>
            <w:vAlign w:val="center"/>
            <w:shd w:val="clear" w:color="auto" w:fill="F2F2F2"/>
            <w:tcMar>
              <w:top w:w="80" w:type="dxa"/>
              <w:bottom w:w="80" w:type="dxa"/>
              <w:left w:w="120" w:type="dxa"/>
              <w:right w:w="120" w:type="dxa"/>
            </w:tcMar>
            <w:tcW w:w="4031" w:type="dxa"/>
          </w:tcPr>
          <w:p>
            <w:pPr>
              <w:jc w:val="left"/>
            </w:pPr>
            <w:r>
              <w:rPr>
                <w:rFonts w:ascii="Arial" w:hAnsi="Arial"/>
                <w:b w:val="0"/>
                <w:sz w:val="18"/>
              </w:rPr>
              <w:t>&lt; 5% faltantes en ventana 14 días, sin outliers</w:t>
            </w:r>
          </w:p>
        </w:tc>
        <w:tc>
          <w:tcPr>
            <w:tcW w:type="dxa" w:w="2880"/>
            <w:vAlign w:val="center"/>
            <w:shd w:val="clear" w:color="auto" w:fill="F2F2F2"/>
            <w:tcMar>
              <w:top w:w="80" w:type="dxa"/>
              <w:bottom w:w="80" w:type="dxa"/>
              <w:left w:w="120" w:type="dxa"/>
              <w:right w:w="120" w:type="dxa"/>
            </w:tcMar>
            <w:tcW w:w="4320" w:type="dxa"/>
          </w:tcPr>
          <w:p>
            <w:pPr>
              <w:jc w:val="left"/>
            </w:pPr>
            <w:r>
              <w:rPr>
                <w:rFonts w:ascii="Arial" w:hAnsi="Arial"/>
                <w:b w:val="0"/>
                <w:sz w:val="18"/>
              </w:rPr>
              <w:t>Recomendación automática normal</w:t>
            </w:r>
          </w:p>
        </w:tc>
      </w:tr>
      <w:tr>
        <w:tc>
          <w:tcPr>
            <w:tcW w:type="dxa" w:w="2880"/>
            <w:vAlign w:val="center"/>
            <w:shd w:val="clear" w:color="auto" w:fill="FFFFFF"/>
            <w:tcMar>
              <w:top w:w="80" w:type="dxa"/>
              <w:bottom w:w="80" w:type="dxa"/>
              <w:left w:w="120" w:type="dxa"/>
              <w:right w:w="120" w:type="dxa"/>
            </w:tcMar>
            <w:tcW w:w="2304" w:type="dxa"/>
          </w:tcPr>
          <w:p>
            <w:pPr>
              <w:jc w:val="left"/>
            </w:pPr>
            <w:r>
              <w:rPr>
                <w:rFonts w:ascii="Arial" w:hAnsi="Arial"/>
                <w:b w:val="0"/>
                <w:sz w:val="18"/>
              </w:rPr>
              <w:t>DATO DEGRADADO</w:t>
            </w:r>
          </w:p>
        </w:tc>
        <w:tc>
          <w:tcPr>
            <w:tcW w:type="dxa" w:w="2880"/>
            <w:vAlign w:val="center"/>
            <w:shd w:val="clear" w:color="auto" w:fill="FFFFFF"/>
            <w:tcMar>
              <w:top w:w="80" w:type="dxa"/>
              <w:bottom w:w="80" w:type="dxa"/>
              <w:left w:w="120" w:type="dxa"/>
              <w:right w:w="120" w:type="dxa"/>
            </w:tcMar>
            <w:tcW w:w="4031" w:type="dxa"/>
          </w:tcPr>
          <w:p>
            <w:pPr>
              <w:jc w:val="left"/>
            </w:pPr>
            <w:r>
              <w:rPr>
                <w:rFonts w:ascii="Arial" w:hAnsi="Arial"/>
                <w:b w:val="0"/>
                <w:sz w:val="18"/>
              </w:rPr>
              <w:t>5–20% faltantes O 1 outlier &gt;3σ en variable crítica</w:t>
            </w:r>
          </w:p>
        </w:tc>
        <w:tc>
          <w:tcPr>
            <w:tcW w:type="dxa" w:w="2880"/>
            <w:vAlign w:val="center"/>
            <w:shd w:val="clear" w:color="auto" w:fill="FFFFFF"/>
            <w:tcMar>
              <w:top w:w="80" w:type="dxa"/>
              <w:bottom w:w="80" w:type="dxa"/>
              <w:left w:w="120" w:type="dxa"/>
              <w:right w:w="120" w:type="dxa"/>
            </w:tcMar>
            <w:tcW w:w="4320" w:type="dxa"/>
          </w:tcPr>
          <w:p>
            <w:pPr>
              <w:jc w:val="left"/>
            </w:pPr>
            <w:r>
              <w:rPr>
                <w:rFonts w:ascii="Arial" w:hAnsi="Arial"/>
                <w:b w:val="0"/>
                <w:sz w:val="18"/>
              </w:rPr>
              <w:t>Recomendación con advertencia + fallback Hargreaves</w:t>
            </w:r>
          </w:p>
        </w:tc>
      </w:tr>
      <w:tr>
        <w:tc>
          <w:tcPr>
            <w:tcW w:type="dxa" w:w="2880"/>
            <w:vAlign w:val="center"/>
            <w:shd w:val="clear" w:color="auto" w:fill="FFDCE1"/>
            <w:tcMar>
              <w:top w:w="80" w:type="dxa"/>
              <w:bottom w:w="80" w:type="dxa"/>
              <w:left w:w="120" w:type="dxa"/>
              <w:right w:w="120" w:type="dxa"/>
            </w:tcMar>
            <w:tcW w:w="2304" w:type="dxa"/>
          </w:tcPr>
          <w:p>
            <w:pPr>
              <w:jc w:val="left"/>
            </w:pPr>
            <w:r>
              <w:rPr>
                <w:rFonts w:ascii="Arial" w:hAnsi="Arial"/>
                <w:b/>
                <w:sz w:val="18"/>
              </w:rPr>
              <w:t>DATO INVÁLIDO</w:t>
            </w:r>
          </w:p>
        </w:tc>
        <w:tc>
          <w:tcPr>
            <w:tcW w:type="dxa" w:w="2880"/>
            <w:vAlign w:val="center"/>
            <w:shd w:val="clear" w:color="auto" w:fill="FFDCE1"/>
            <w:tcMar>
              <w:top w:w="80" w:type="dxa"/>
              <w:bottom w:w="80" w:type="dxa"/>
              <w:left w:w="120" w:type="dxa"/>
              <w:right w:w="120" w:type="dxa"/>
            </w:tcMar>
            <w:tcW w:w="4031" w:type="dxa"/>
          </w:tcPr>
          <w:p>
            <w:pPr>
              <w:jc w:val="left"/>
            </w:pPr>
            <w:r>
              <w:rPr>
                <w:rFonts w:ascii="Arial" w:hAnsi="Arial"/>
                <w:b w:val="0"/>
                <w:sz w:val="18"/>
              </w:rPr>
              <w:t>&gt; 20% faltantes O deriva PSI &gt; 0.2</w:t>
            </w:r>
          </w:p>
        </w:tc>
        <w:tc>
          <w:tcPr>
            <w:tcW w:type="dxa" w:w="2880"/>
            <w:vAlign w:val="center"/>
            <w:shd w:val="clear" w:color="auto" w:fill="FFDCE1"/>
            <w:tcMar>
              <w:top w:w="80" w:type="dxa"/>
              <w:bottom w:w="80" w:type="dxa"/>
              <w:left w:w="120" w:type="dxa"/>
              <w:right w:w="120" w:type="dxa"/>
            </w:tcMar>
            <w:tcW w:w="4320" w:type="dxa"/>
          </w:tcPr>
          <w:p>
            <w:pPr>
              <w:jc w:val="left"/>
            </w:pPr>
            <w:r>
              <w:rPr>
                <w:rFonts w:ascii="Arial" w:hAnsi="Arial"/>
                <w:b/>
                <w:sz w:val="18"/>
              </w:rPr>
              <w:t>SUSPENDER recomendación automática. Forzar revisión humana.</w:t>
            </w:r>
          </w:p>
        </w:tc>
      </w:tr>
    </w:tbl>
    <w:p>
      <w:pPr>
        <w:spacing w:before="40" w:after="160"/>
        <w:jc w:val="center"/>
      </w:pPr>
      <w:r>
        <w:rPr>
          <w:rFonts w:ascii="Arial" w:hAnsi="Arial"/>
          <w:i/>
          <w:color w:val="606060"/>
          <w:sz w:val="18"/>
        </w:rPr>
        <w:t>Tabla 12.1: Umbrales de calidad y estados de la FSM de MILPÍN</w:t>
      </w:r>
    </w:p>
    <w:p>
      <w:pPr>
        <w:spacing w:after="40"/>
      </w:pPr>
    </w:p>
    <w:p>
      <w:pPr>
        <w:pStyle w:val="Heading2"/>
      </w:pPr>
      <w:r>
        <w:rPr>
          <w:rFonts w:ascii="Arial" w:hAnsi="Arial"/>
          <w:color w:val="2E75B6"/>
          <w:sz w:val="26"/>
        </w:rPr>
        <w:t>12.2 Distribución de responsabilidad</w:t>
      </w:r>
    </w:p>
    <w:p>
      <w:pPr>
        <w:spacing w:after="120"/>
        <w:jc w:val="left"/>
      </w:pPr>
      <w:r>
        <w:rPr>
          <w:rFonts w:ascii="Arial" w:hAnsi="Arial"/>
          <w:b w:val="0"/>
          <w:i w:val="0"/>
          <w:sz w:val="22"/>
        </w:rPr>
        <w:t>MILPÍN adopta el marco de responsabilidad diferenciada por rol (Kroll et al., 2017): (a) Diseñadores del sistema: responsables de la corrección metodológica FAO-56, robustez de umbrales y transparencia de modelos. (b) Operadores (productores, técnicos del módulo): responsables de registrar fielmente los riegos ejecutados y reportar anomalías en campo. (c) Decisores de política (gerencias, CONAGUA): responsables de definir el nivel de riesgo hídrico aceptable. Esta distribución impide el uso del algoritmo como escudo de responsabilidad.</w:t>
      </w:r>
    </w:p>
    <w:p>
      <w:pPr>
        <w:spacing w:after="40"/>
      </w:pPr>
    </w:p>
    <w:p>
      <w:pPr>
        <w:pStyle w:val="Heading2"/>
      </w:pPr>
      <w:r>
        <w:rPr>
          <w:rFonts w:ascii="Arial" w:hAnsi="Arial"/>
          <w:color w:val="2E75B6"/>
          <w:sz w:val="26"/>
        </w:rPr>
        <w:t>12.3 Comunicar incertidumbre sin generar rechazo ni sobreconfianza</w:t>
      </w:r>
    </w:p>
    <w:p>
      <w:pPr>
        <w:spacing w:after="120"/>
        <w:jc w:val="left"/>
      </w:pPr>
      <w:r>
        <w:rPr>
          <w:rFonts w:ascii="Arial" w:hAnsi="Arial"/>
          <w:b w:val="0"/>
          <w:i w:val="0"/>
          <w:sz w:val="22"/>
        </w:rPr>
        <w:t>El riesgo dual es simultáneo: demasiada incertidumbre → abandono ('para qué lo uso si no sabe'); falsa precisión → expectativas imposibles que destruyen confianza post-piloto (UNESCO, 2021). MILPÍN adopta el principio de 'promesa mínima verificable': el sistema promete reducir el consumo en al menos 12% (no 25%) en el ciclo piloto, con evidencia disponible semana a semana en el historial de la parcela. Esta promesa conservadora es auditable, superable y construye confianza incremental. Si el sistema entrega 20% real, la promesa se supera — efecto de anclaje positivo.</w:t>
      </w:r>
    </w:p>
    <w:p>
      <w:r>
        <w:br w:type="page"/>
      </w:r>
    </w:p>
    <w:p>
      <w:pPr>
        <w:pStyle w:val="Heading1"/>
      </w:pPr>
      <w:r>
        <w:rPr>
          <w:rFonts w:ascii="Arial" w:hAnsi="Arial"/>
          <w:color w:val="1F3864"/>
          <w:sz w:val="32"/>
        </w:rPr>
        <w:t>XIII. Visualización: Simplicidad, Precisión y Accesibilidad</w:t>
      </w:r>
    </w:p>
    <w:p>
      <w:pPr>
        <w:pStyle w:val="Heading2"/>
      </w:pPr>
      <w:r>
        <w:rPr>
          <w:rFonts w:ascii="Arial" w:hAnsi="Arial"/>
          <w:color w:val="2E75B6"/>
          <w:sz w:val="26"/>
        </w:rPr>
        <w:t>13.1 ¿Simplificar oculta incertidumbre relevante?</w:t>
      </w:r>
    </w:p>
    <w:p>
      <w:pPr>
        <w:spacing w:after="120"/>
        <w:jc w:val="left"/>
      </w:pPr>
      <w:r>
        <w:rPr>
          <w:rFonts w:ascii="Arial" w:hAnsi="Arial"/>
          <w:b w:val="0"/>
          <w:i w:val="0"/>
          <w:sz w:val="22"/>
        </w:rPr>
        <w:t>Sí, simplificar sin criterio puede ocultar incertidumbre crítica (Cairo, 2012). Mostrar '1,200 m³' sin indicar el rango de error (±240 m³ según variabilidad de ETo) induce falsa precisión. La solución de diseño: mantener simplicidad en la acción recomendada pero incluir un indicador de calidad de dato visible (icónico, no numérico). En la versión actual del UI, este indicador no existe — es deuda de diseño.</w:t>
      </w:r>
    </w:p>
    <w:p>
      <w:pPr>
        <w:spacing w:after="40"/>
      </w:pPr>
    </w:p>
    <w:p>
      <w:pPr>
        <w:pStyle w:val="Heading2"/>
      </w:pPr>
      <w:r>
        <w:rPr>
          <w:rFonts w:ascii="Arial" w:hAnsi="Arial"/>
          <w:color w:val="2E75B6"/>
          <w:sz w:val="26"/>
        </w:rPr>
        <w:t>13.2 Jerarquía visual de tres niveles</w:t>
      </w:r>
    </w:p>
    <w:p>
      <w:pPr>
        <w:spacing w:after="120"/>
        <w:jc w:val="left"/>
      </w:pPr>
      <w:r>
        <w:rPr>
          <w:rFonts w:ascii="Arial" w:hAnsi="Arial"/>
          <w:b w:val="0"/>
          <w:i w:val="0"/>
          <w:sz w:val="22"/>
        </w:rPr>
        <w:t>El tablero opera con jerarquía visual (Few, 2013; Ware, 2013): (1) Vista módulo: mapa Leaflet con código de color rojo/amarillo/verde por urgencia — decisión en &lt;3 segundos. (2) Vista parcela: balance hídrico + proyección 7 días + recomendación — análisis en 30 segundos. (3) Vista detalle: valores FAO-56 diarios — auditoría agronómica en 2 minutos.</w:t>
      </w:r>
    </w:p>
    <w:p>
      <w:pPr>
        <w:spacing w:after="40"/>
      </w:pPr>
    </w:p>
    <w:p>
      <w:pPr>
        <w:pStyle w:val="Heading2"/>
      </w:pPr>
      <w:r>
        <w:rPr>
          <w:rFonts w:ascii="Arial" w:hAnsi="Arial"/>
          <w:color w:val="2E75B6"/>
          <w:sz w:val="26"/>
        </w:rPr>
        <w:t>13.3 Accesibilidad cromática</w:t>
      </w:r>
    </w:p>
    <w:p>
      <w:pPr>
        <w:spacing w:after="120"/>
        <w:jc w:val="left"/>
      </w:pPr>
      <w:r>
        <w:rPr>
          <w:rFonts w:ascii="Arial" w:hAnsi="Arial"/>
          <w:b w:val="0"/>
          <w:i w:val="0"/>
          <w:sz w:val="22"/>
        </w:rPr>
        <w:t>El 8% de los hombres tiene algún grado de daltonismo (principalmente deuteranopia, confusión rojo-verde) (Wong, 2011). MILPÍN resuelve con codificación redundante: color + forma + texto. La alerta CRITICA usa rojo + círculo con exclamación + texto 'RIEGUE HOY'; la alerta NORMAL usa verde + hexágono + texto 'OK'. Verificar contraste WCAG 2.1 AA en todos los estados.</w:t>
      </w:r>
    </w:p>
    <w:p>
      <w:r>
        <w:br w:type="page"/>
      </w:r>
    </w:p>
    <w:p>
      <w:pPr>
        <w:pStyle w:val="Heading1"/>
      </w:pPr>
      <w:r>
        <w:rPr>
          <w:rFonts w:ascii="Arial" w:hAnsi="Arial"/>
          <w:color w:val="1F3864"/>
          <w:sz w:val="32"/>
        </w:rPr>
        <w:t>XIV. Modelo y Simulación: Validación y Robustez</w:t>
      </w:r>
    </w:p>
    <w:p>
      <w:pPr>
        <w:pStyle w:val="Heading2"/>
      </w:pPr>
      <w:r>
        <w:rPr>
          <w:rFonts w:ascii="Arial" w:hAnsi="Arial"/>
          <w:color w:val="2E75B6"/>
          <w:sz w:val="26"/>
        </w:rPr>
        <w:t>14.1 ¿Qué nivel de evidencia es suficiente antes de usar en decisiones operativas?</w:t>
      </w:r>
    </w:p>
    <w:p>
      <w:pPr>
        <w:spacing w:after="120"/>
        <w:jc w:val="left"/>
      </w:pPr>
      <w:r>
        <w:rPr>
          <w:rFonts w:ascii="Arial" w:hAnsi="Arial"/>
          <w:b w:val="0"/>
          <w:i w:val="0"/>
          <w:sz w:val="22"/>
        </w:rPr>
        <w:t>La respuesta no es una cifra absoluta sino función del costo del error (Sargent, 2013). Para MILPÍN, donde un error de sobreestimación del déficit lleva a un riego innecesario de $1,613–$3,226 MXN/ha (rango 12–24%), el umbral de validación razonable es: (a) Caja blanca: 77 pruebas automatizadas que verifican implementación FAO-56 — ya superado. (b) Validación de campo: al menos 1 ciclo completo con 5+ productores — pendiente. (c) Calibración local Kc: ajuste a condiciones Yaqui (diferencia ±15% de valores FAO). Hasta completar (b) y (c), el sistema se presenta explícitamente como 'pre-MVP en validación'.</w:t>
      </w:r>
    </w:p>
    <w:p>
      <w:pPr>
        <w:spacing w:after="40"/>
      </w:pPr>
    </w:p>
    <w:p>
      <w:pPr>
        <w:pStyle w:val="Heading2"/>
      </w:pPr>
      <w:r>
        <w:rPr>
          <w:rFonts w:ascii="Arial" w:hAnsi="Arial"/>
          <w:color w:val="2E75B6"/>
          <w:sz w:val="26"/>
        </w:rPr>
        <w:t>14.2 Robustez ante escenarios extremos</w:t>
      </w:r>
    </w:p>
    <w:p>
      <w:pPr>
        <w:spacing w:after="120"/>
        <w:jc w:val="left"/>
      </w:pPr>
      <w:r>
        <w:rPr>
          <w:rFonts w:ascii="Arial" w:hAnsi="Arial"/>
          <w:b w:val="0"/>
          <w:i w:val="0"/>
          <w:sz w:val="22"/>
        </w:rPr>
        <w:t>El motor FAO-56 está optimizado para condiciones normales del ciclo agrícola (25–45°C, HR 30–60%). Ante eventos extremos — golpe de calor de 48°C, granizo, inundación — el modelo puede subestimar el requerimiento hídrico hasta 30% (Saltelli et al., 2008). Mitigaciones: análisis de sensibilidad global sobre variables críticas (T_max, HR_min, viento); Hargreaves fallback que sobreestima ETo en condiciones áridas (actúa como margen de seguridad); alertas cuando T_max supera percentil 95% histórico de NASA POWER.</w:t>
      </w:r>
    </w:p>
    <w:p>
      <w:pPr>
        <w:spacing w:after="40"/>
      </w:pPr>
    </w:p>
    <w:p>
      <w:pPr>
        <w:pStyle w:val="Heading2"/>
      </w:pPr>
      <w:r>
        <w:rPr>
          <w:rFonts w:ascii="Arial" w:hAnsi="Arial"/>
          <w:color w:val="2E75B6"/>
          <w:sz w:val="26"/>
        </w:rPr>
        <w:t>14.3 Forecast ETo: riesgo de falsa precisión</w:t>
      </w:r>
    </w:p>
    <w:p>
      <w:pPr>
        <w:spacing w:after="120"/>
        <w:jc w:val="left"/>
      </w:pPr>
      <w:r>
        <w:rPr>
          <w:rFonts w:ascii="Arial" w:hAnsi="Arial"/>
          <w:b w:val="0"/>
          <w:i w:val="0"/>
          <w:sz w:val="22"/>
        </w:rPr>
        <w:t>El forecast ETo a 7 días con Ridge Regression es la pieza de ML más crítica. Tres medidas mitigan el riesgo de sobreconfianza: (1) mínimo 60 registros históricos por parcela; (2) el RMSE del modelo se muestra en la interfaz como 'margen de error: ±X mm/d'; (3) la proyección se etiqueta como 'estimación', no como 'pronóstico' — distinción semántica crítica para prevenir sobreconfianza (Law, 2014).</w:t>
      </w:r>
    </w:p>
    <w:p>
      <w:r>
        <w:br w:type="page"/>
      </w:r>
    </w:p>
    <w:p>
      <w:pPr>
        <w:pStyle w:val="Heading1"/>
      </w:pPr>
      <w:r>
        <w:rPr>
          <w:rFonts w:ascii="Arial" w:hAnsi="Arial"/>
          <w:color w:val="1F3864"/>
          <w:sz w:val="32"/>
        </w:rPr>
        <w:t>XV. Prácticas Profesionales: Trazabilidad, Calidad y Límites</w:t>
      </w:r>
    </w:p>
    <w:p>
      <w:pPr>
        <w:pStyle w:val="Heading2"/>
      </w:pPr>
      <w:r>
        <w:rPr>
          <w:rFonts w:ascii="Arial" w:hAnsi="Arial"/>
          <w:color w:val="2E75B6"/>
          <w:sz w:val="26"/>
        </w:rPr>
        <w:t>15.1 Trazabilidad en decisiones con impacto económico y ambiental</w:t>
      </w:r>
    </w:p>
    <w:p>
      <w:pPr>
        <w:spacing w:after="120"/>
        <w:jc w:val="left"/>
      </w:pPr>
      <w:r>
        <w:rPr>
          <w:rFonts w:ascii="Arial" w:hAnsi="Arial"/>
          <w:b w:val="0"/>
          <w:i w:val="0"/>
          <w:sz w:val="22"/>
        </w:rPr>
        <w:t>Toda decisión de riego ejecutada con base en una recomendación de MILPÍN debe ser auditable en tres dimensiones: qué dato originó la recomendación, quién la aprobó y ejecutó, y qué resultado se registró. Esta trazabilidad está implementada en el loop recomendación→feedback→historial_riego de PostgreSQL, verificado con 7 casos de prueba (Kroll et al., 2017). El registro es la única evidencia objetiva para resolver disputas contractuales en el modelo de pago por desempeño.</w:t>
      </w:r>
    </w:p>
    <w:p>
      <w:pPr>
        <w:spacing w:after="40"/>
      </w:pPr>
    </w:p>
    <w:p>
      <w:pPr>
        <w:pStyle w:val="Heading2"/>
      </w:pPr>
      <w:r>
        <w:rPr>
          <w:rFonts w:ascii="Arial" w:hAnsi="Arial"/>
          <w:color w:val="2E75B6"/>
          <w:sz w:val="26"/>
        </w:rPr>
        <w:t>15.2 Umbrales de calidad que modifican el uso de la herramienta</w:t>
      </w:r>
    </w:p>
    <w:p>
      <w:pPr>
        <w:spacing w:after="120"/>
        <w:jc w:val="left"/>
      </w:pPr>
      <w:r>
        <w:rPr>
          <w:rFonts w:ascii="Arial" w:hAnsi="Arial"/>
          <w:b w:val="0"/>
          <w:i w:val="0"/>
          <w:sz w:val="22"/>
        </w:rPr>
        <w:t>El profesionista que implementó el sistema tiene la obligación deontológica de documentar y comunicar explícitamente los límites de uso antes de la adopción (Batini y Scannapieco, 2016). MILPÍN incluye una sección de 'Condiciones de Uso' que especifica: (1) el sistema es apoyo a la decisión, no sustituto del criterio agronómico; (2) las recomendaciones asumen que los datos edafológicos (CC, PMP, profundidad de raíz) fueron capturados correctamente en el onboarding; (3) ante eventos climáticos extremos no representados en el historial, el sistema puede suboptimizar.</w:t>
      </w:r>
    </w:p>
    <w:p>
      <w:pPr>
        <w:spacing w:after="40"/>
      </w:pPr>
    </w:p>
    <w:p>
      <w:pPr>
        <w:pStyle w:val="Heading2"/>
      </w:pPr>
      <w:r>
        <w:rPr>
          <w:rFonts w:ascii="Arial" w:hAnsi="Arial"/>
          <w:color w:val="2E75B6"/>
          <w:sz w:val="26"/>
        </w:rPr>
        <w:t>15.3 Comunicar límites sin generar rechazo ni promesas implícitas</w:t>
      </w:r>
    </w:p>
    <w:p>
      <w:pPr>
        <w:spacing w:after="120"/>
        <w:jc w:val="left"/>
      </w:pPr>
      <w:r>
        <w:rPr>
          <w:rFonts w:ascii="Arial" w:hAnsi="Arial"/>
          <w:b w:val="0"/>
          <w:i w:val="0"/>
          <w:sz w:val="22"/>
        </w:rPr>
        <w:t>MILPÍN sigue el principio de 'responsabilidad calibrada': el sistema garantiza la corrección metodológica del cálculo FAO-56 (verificado con 77 tests) pero NO garantiza el ahorro económico específico, que depende de variables fuera del control del sistema: precio de energía, clima real, decisión final del productor. Esta distinción — qué controla el sistema y qué no — es el núcleo de la comunicación profesional responsable.</w:t>
      </w:r>
    </w:p>
    <w:p>
      <w:pPr>
        <w:spacing w:before="80" w:after="160"/>
        <w:ind w:left="216"/>
        <w:shd w:val="clear" w:color="auto" w:fill="FFF2CC"/>
        <w:pBdr>
          <w:left w:val="single" w:sz="18" w:space="4" w:color="F0A000"/>
        </w:pBdr>
      </w:pPr>
      <w:r>
        <w:rPr>
          <w:rFonts w:ascii="Arial" w:hAnsi="Arial"/>
          <w:i/>
          <w:color w:val="333333"/>
          <w:sz w:val="20"/>
        </w:rPr>
        <w:t>Promesa que el sistema SÍ puede hacer: 'El cálculo FAO-56 es metodológicamente correcto según Allen et al. (1998) y está verificado con 77 tests.' Promesa que el sistema NO puede hacer: 'Usted ahorrará exactamente $3,360 MXN/ha/ciclo.'</w:t>
      </w:r>
    </w:p>
    <w:p>
      <w:r>
        <w:br w:type="page"/>
      </w:r>
    </w:p>
    <w:p>
      <w:pPr>
        <w:pStyle w:val="Heading1"/>
      </w:pPr>
      <w:r>
        <w:rPr>
          <w:rFonts w:ascii="Arial" w:hAnsi="Arial"/>
          <w:color w:val="1F3864"/>
          <w:sz w:val="32"/>
        </w:rPr>
        <w:t>Referencias</w:t>
      </w:r>
    </w:p>
    <w:p>
      <w:pPr>
        <w:pStyle w:val="ListBullet"/>
        <w:spacing w:after="60"/>
      </w:pPr>
      <w:r>
        <w:rPr>
          <w:rFonts w:ascii="Arial" w:hAnsi="Arial"/>
          <w:sz w:val="18"/>
        </w:rPr>
        <w:t>Allen, R. G., Pereira, L. S., Raes, D., y Smith, M. (1998). Crop evapotranspiration: Guidelines for computing crop water requirements. FAO Irrigation and Drainage Paper 56. Roma: FAO.</w:t>
      </w:r>
    </w:p>
    <w:p>
      <w:pPr>
        <w:pStyle w:val="ListBullet"/>
        <w:spacing w:after="60"/>
      </w:pPr>
      <w:r>
        <w:rPr>
          <w:rFonts w:ascii="Arial" w:hAnsi="Arial"/>
          <w:sz w:val="18"/>
        </w:rPr>
        <w:t>Batini, C. y Scannapieco, M. (2016). Data and Information Quality: Dimensions, Principles and Techniques. Springer International Publishing.</w:t>
      </w:r>
    </w:p>
    <w:p>
      <w:pPr>
        <w:pStyle w:val="ListBullet"/>
        <w:spacing w:after="60"/>
      </w:pPr>
      <w:r>
        <w:rPr>
          <w:rFonts w:ascii="Arial" w:hAnsi="Arial"/>
          <w:sz w:val="18"/>
        </w:rPr>
        <w:t>Blank, S. y Dorf, B. (2012). The Startup Owner's Manual. K&amp;S Ranch Press.</w:t>
      </w:r>
    </w:p>
    <w:p>
      <w:pPr>
        <w:pStyle w:val="ListBullet"/>
        <w:spacing w:after="60"/>
      </w:pPr>
      <w:r>
        <w:rPr>
          <w:rFonts w:ascii="Arial" w:hAnsi="Arial"/>
          <w:sz w:val="18"/>
        </w:rPr>
        <w:t>Breiman, L. (2001). Statistical Modeling: The Two Cultures. Statistical Science, 16(3), 199–231.</w:t>
      </w:r>
    </w:p>
    <w:p>
      <w:pPr>
        <w:pStyle w:val="ListBullet"/>
        <w:spacing w:after="60"/>
      </w:pPr>
      <w:r>
        <w:rPr>
          <w:rFonts w:ascii="Arial" w:hAnsi="Arial"/>
          <w:sz w:val="18"/>
        </w:rPr>
        <w:t>Brown, P. D. et al. (2020). Uncertainty communication in agricultural decision support systems. Computers and Electronics in Agriculture, 172, 105319.</w:t>
      </w:r>
    </w:p>
    <w:p>
      <w:pPr>
        <w:pStyle w:val="ListBullet"/>
        <w:spacing w:after="60"/>
      </w:pPr>
      <w:r>
        <w:rPr>
          <w:rFonts w:ascii="Arial" w:hAnsi="Arial"/>
          <w:sz w:val="18"/>
        </w:rPr>
        <w:t>Cairo, A. (2012). The Functional Art: An Introduction to Information Graphics and Visualization. New Riders.</w:t>
      </w:r>
    </w:p>
    <w:p>
      <w:pPr>
        <w:pStyle w:val="ListBullet"/>
        <w:spacing w:after="60"/>
      </w:pPr>
      <w:r>
        <w:rPr>
          <w:rFonts w:ascii="Arial" w:hAnsi="Arial"/>
          <w:sz w:val="18"/>
        </w:rPr>
        <w:t>Chandola, V., Banerjee, A. y Kumar, V. (2009). Anomaly detection: A survey. ACM Computing Surveys, 41(3), 1–58.</w:t>
      </w:r>
    </w:p>
    <w:p>
      <w:pPr>
        <w:pStyle w:val="ListBullet"/>
        <w:spacing w:after="60"/>
      </w:pPr>
      <w:r>
        <w:rPr>
          <w:rFonts w:ascii="Arial" w:hAnsi="Arial"/>
          <w:sz w:val="18"/>
        </w:rPr>
        <w:t>CIMMYT (2021). Coeficientes de cultivo para trigo, maíz y soya en el Valle del Yaqui. Centro Internacional de Mejoramiento de Maíz y Trigo.</w:t>
      </w:r>
    </w:p>
    <w:p>
      <w:pPr>
        <w:pStyle w:val="ListBullet"/>
        <w:spacing w:after="60"/>
      </w:pPr>
      <w:r>
        <w:rPr>
          <w:rFonts w:ascii="Arial" w:hAnsi="Arial"/>
          <w:sz w:val="18"/>
        </w:rPr>
        <w:t>CONAGUA (2023). Estadísticas del Agua en México, edición 2023. Comisión Nacional del Agua.</w:t>
      </w:r>
    </w:p>
    <w:p>
      <w:pPr>
        <w:pStyle w:val="ListBullet"/>
        <w:spacing w:after="60"/>
      </w:pPr>
      <w:r>
        <w:rPr>
          <w:rFonts w:ascii="Arial" w:hAnsi="Arial"/>
          <w:sz w:val="18"/>
        </w:rPr>
        <w:t>Diakopoulos, N. (2016). Accountability in algorithmic decision-making. Communications of the ACM, 59(2), 56–62.</w:t>
      </w:r>
    </w:p>
    <w:p>
      <w:pPr>
        <w:pStyle w:val="ListBullet"/>
        <w:spacing w:after="60"/>
      </w:pPr>
      <w:r>
        <w:rPr>
          <w:rFonts w:ascii="Arial" w:hAnsi="Arial"/>
          <w:sz w:val="18"/>
        </w:rPr>
        <w:t>Few, S. (2013). Information Dashboard Design: Displaying Data for At-a-Glance Monitoring (2nd ed.). Analytics Press.</w:t>
      </w:r>
    </w:p>
    <w:p>
      <w:pPr>
        <w:pStyle w:val="ListBullet"/>
        <w:spacing w:after="60"/>
      </w:pPr>
      <w:r>
        <w:rPr>
          <w:rFonts w:ascii="Arial" w:hAnsi="Arial"/>
          <w:sz w:val="18"/>
        </w:rPr>
        <w:t>IMTA (2022). Diagnóstico de adopción tecnológica en el Distrito de Riego 041. Instituto Mexicano de Tecnología del Agua.</w:t>
      </w:r>
    </w:p>
    <w:p>
      <w:pPr>
        <w:pStyle w:val="ListBullet"/>
        <w:spacing w:after="60"/>
      </w:pPr>
      <w:r>
        <w:rPr>
          <w:rFonts w:ascii="Arial" w:hAnsi="Arial"/>
          <w:sz w:val="18"/>
        </w:rPr>
        <w:t>KPMG (2024). Venture Pulse Q1 2024: Global Analysis of Venture Funding. KPMG International.</w:t>
      </w:r>
    </w:p>
    <w:p>
      <w:pPr>
        <w:pStyle w:val="ListBullet"/>
        <w:spacing w:after="60"/>
      </w:pPr>
      <w:r>
        <w:rPr>
          <w:rFonts w:ascii="Arial" w:hAnsi="Arial"/>
          <w:sz w:val="18"/>
        </w:rPr>
        <w:t>Kroll, J. A. et al. (2017). Accountable algorithms. University of Pennsylvania Law Review, 165(3), 633–705.</w:t>
      </w:r>
    </w:p>
    <w:p>
      <w:pPr>
        <w:pStyle w:val="ListBullet"/>
        <w:spacing w:after="60"/>
      </w:pPr>
      <w:r>
        <w:rPr>
          <w:rFonts w:ascii="Arial" w:hAnsi="Arial"/>
          <w:sz w:val="18"/>
        </w:rPr>
        <w:t>Law, A. M. (2014). Simulation Modeling and Analysis (5th ed.). McGraw-Hill.</w:t>
      </w:r>
    </w:p>
    <w:p>
      <w:pPr>
        <w:pStyle w:val="ListBullet"/>
        <w:spacing w:after="60"/>
      </w:pPr>
      <w:r>
        <w:rPr>
          <w:rFonts w:ascii="Arial" w:hAnsi="Arial"/>
          <w:sz w:val="18"/>
        </w:rPr>
        <w:t>Mu, Q. et al. (2021). Validation of NASA POWER global surface radiation data against 283 ground stations. Remote Sensing of Environment, 256, 112314.</w:t>
      </w:r>
    </w:p>
    <w:p>
      <w:pPr>
        <w:pStyle w:val="ListBullet"/>
        <w:spacing w:after="60"/>
      </w:pPr>
      <w:r>
        <w:rPr>
          <w:rFonts w:ascii="Arial" w:hAnsi="Arial"/>
          <w:sz w:val="18"/>
        </w:rPr>
        <w:t>NIST (2023). NIST AI Risk Management Framework (AI RMF 1.0). National Institute of Standards and Technology.</w:t>
      </w:r>
    </w:p>
    <w:p>
      <w:pPr>
        <w:pStyle w:val="ListBullet"/>
        <w:spacing w:after="60"/>
      </w:pPr>
      <w:r>
        <w:rPr>
          <w:rFonts w:ascii="Arial" w:hAnsi="Arial"/>
          <w:sz w:val="18"/>
        </w:rPr>
        <w:t>OECD (2019). Recommendation of the Council on Artificial Intelligence. OECD/LEGAL/0449.</w:t>
      </w:r>
    </w:p>
    <w:p>
      <w:pPr>
        <w:pStyle w:val="ListBullet"/>
        <w:spacing w:after="60"/>
      </w:pPr>
      <w:r>
        <w:rPr>
          <w:rFonts w:ascii="Arial" w:hAnsi="Arial"/>
          <w:sz w:val="18"/>
        </w:rPr>
        <w:t>Rogers, E. M. (2003). Diffusion of Innovations (5th ed.). Free Press.</w:t>
      </w:r>
    </w:p>
    <w:p>
      <w:pPr>
        <w:pStyle w:val="ListBullet"/>
        <w:spacing w:after="60"/>
      </w:pPr>
      <w:r>
        <w:rPr>
          <w:rFonts w:ascii="Arial" w:hAnsi="Arial"/>
          <w:sz w:val="18"/>
        </w:rPr>
        <w:t>Saltelli, A. et al. (2008). Global Sensitivity Analysis: The Primer. Wiley.</w:t>
      </w:r>
    </w:p>
    <w:p>
      <w:pPr>
        <w:pStyle w:val="ListBullet"/>
        <w:spacing w:after="60"/>
      </w:pPr>
      <w:r>
        <w:rPr>
          <w:rFonts w:ascii="Arial" w:hAnsi="Arial"/>
          <w:sz w:val="18"/>
        </w:rPr>
        <w:t>Sargent, R. G. (2013). Verification and validation of simulation models. Journal of Simulation, 7(1), 12–24.</w:t>
      </w:r>
    </w:p>
    <w:p>
      <w:pPr>
        <w:pStyle w:val="ListBullet"/>
        <w:spacing w:after="60"/>
      </w:pPr>
      <w:r>
        <w:rPr>
          <w:rFonts w:ascii="Arial" w:hAnsi="Arial"/>
          <w:sz w:val="18"/>
        </w:rPr>
        <w:t>UNESCO (2021). Recommendation on the Ethics of Artificial Intelligence. Paris: UNESCO.</w:t>
      </w:r>
    </w:p>
    <w:p>
      <w:pPr>
        <w:pStyle w:val="ListBullet"/>
        <w:spacing w:after="60"/>
      </w:pPr>
      <w:r>
        <w:rPr>
          <w:rFonts w:ascii="Arial" w:hAnsi="Arial"/>
          <w:sz w:val="18"/>
        </w:rPr>
        <w:t>Ware, C. (2013). Information Visualization: Perception for Design (3rd ed.). Morgan Kaufmann.</w:t>
      </w:r>
    </w:p>
    <w:p>
      <w:pPr>
        <w:pStyle w:val="ListBullet"/>
        <w:spacing w:after="60"/>
      </w:pPr>
      <w:r>
        <w:rPr>
          <w:rFonts w:ascii="Arial" w:hAnsi="Arial"/>
          <w:sz w:val="18"/>
        </w:rPr>
        <w:t>Wong, B. (2011). Color blindness. Nature Methods, 8(6), 441.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