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jc w:val="center"/>
      </w:pPr>
      <w:r>
        <w:rPr>
          <w:b/>
          <w:sz w:val="30"/>
        </w:rPr>
        <w:t>Cover Letter</w:t>
      </w:r>
    </w:p>
    <w:p>
      <w:r>
        <w:t>Dear Editors of Sustainability,</w:t>
      </w:r>
    </w:p>
    <w:p>
      <w:r>
        <w:t>We submit the manuscript “Directional Hybrid-Work Misfit and Job Dissatisfaction: Implications for Socially Sustainable Hybrid-Work Design” for consideration as an Article in Sustainability.</w:t>
      </w:r>
    </w:p>
    <w:p>
      <w:r>
        <w:t>The study examines whether the direction of the gap between desired and employer-planned work from home is associated with job dissatisfaction. The fully adjusted association model used 15,355 complete cases from September–December 2025. In that model, strong under-remote misfit was associated with an 11.5-percentage-point higher probability of job dissatisfaction. The adjusted under–over contrast was 7.9 percentage points (95% CI: 3.1–12.7).</w:t>
      </w:r>
    </w:p>
    <w:p>
      <w:r>
        <w:t>Adding desired and planned WFH increased random-forest precision@10% from 0.1706 to 0.2408; the paired-bootstrap increase was 7.02 percentage points (95% interval: 4.21–9.83). At 10% capacity, the under-remote rule achieved a precision of 0.2322, compared with 0.2505 for the reduced-feature random forest. The 1.84-percentage-point difference had a paired-bootstrap interval of −0.32 to 3.78 percentage points, so the manuscript does not claim equivalence or non-inferiority.</w:t>
      </w:r>
    </w:p>
    <w:p>
      <w:r>
        <w:t>Existing studies have mainly compared preferred with realized telework under pandemic-period conditions. The present manuscript extends this evidence by examining desired versus employer-planned WFH in a later U.S. repeated cross-section, formally comparing the two directions of misfit, and evaluating transparent temporal-holdout ranking. The manuscript fits the scope of Sustainability because it examines how employee voice, wellbeing, and accountable decision support can inform socially sustainable hybrid-work design.</w:t>
      </w:r>
    </w:p>
    <w:p>
      <w:r>
        <w:t>We reran the full statistical and document-generation pipeline from the verified SWAA archive in a clean directory, synchronized the manuscript with all generated tables and figures, and added automated checks for sample timing, model identity, reference definitions, calibration, and response-surface centering.</w:t>
      </w:r>
    </w:p>
    <w:p>
      <w:r>
        <w:t>We confirm that this manuscript and all parts of its content are neither published elsewhere nor under consideration by another journal. All authors have approved the manuscript and agree with its submission to Sustainability. The authors declare no conflicts of interest. Raw SWAA data are not redistributed; the code package records the data release, file hash, and reproduction command. The public code repository is available at https://github.com/ZidongZhou/hybrid-misfit and the archived release is available on Zenodo at https://doi.org/10.5281/zenodo.21323412.</w:t>
      </w:r>
    </w:p>
    <w:p>
      <w:r>
        <w:t>Sincerely,</w:t>
      </w:r>
    </w:p>
    <w:p>
      <w:r>
        <w:t>Zidong Zhou</w:t>
      </w:r>
    </w:p>
    <w:p>
      <w:r>
        <w:t>Rudzi Munap</w:t>
      </w:r>
    </w:p>
    <w:p>
      <w:r>
        <w:t>Yue Meng</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Directional hybrid-work misfit and job dissatisfaction</dc:subject>
  <dc:creator>Zidong Zhou; Rudzi Munap; Yue Meng</dc:creator>
  <cp:keywords>hybrid work; work from home; social sustainability; job dissatisfaction; preference fit</cp:keywords>
  <dc:description/>
  <cp:lastModifiedBy>Zidong Zhou; Rudzi Munap; Yue Meng</cp:lastModifiedBy>
  <cp:revision>1</cp:revision>
  <dcterms:created xsi:type="dcterms:W3CDTF">2013-12-23T23:15:00Z</dcterms:created>
  <dcterms:modified xsi:type="dcterms:W3CDTF">2013-12-23T23:15:00Z</dcterms:modified>
  <cp:category>Article</cp:category>
</cp:coreProperties>
</file>