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keepNext w:val="0"/>
        <w:keepLines w:val="0"/>
      </w:pPr>
      <w:r>
        <w:rPr>
          <w:b w:val="0"/>
          <w:i w:val="0"/>
        </w:rPr>
        <w:t>Supplementary Material</w:t>
      </w:r>
    </w:p>
    <w:p>
      <w:pPr>
        <w:pStyle w:val="MDPI12title"/>
        <w:keepNext w:val="0"/>
        <w:keepLines w:val="0"/>
      </w:pPr>
      <w:r>
        <w:rPr>
          <w:b w:val="0"/>
          <w:i w:val="0"/>
        </w:rPr>
        <w:t>Directional Hybrid-Work Misfit and Job Dissatisfaction: Implications for Socially Sustainable Hybrid-Work Design</w:t>
      </w:r>
    </w:p>
    <w:p>
      <w:pPr>
        <w:pStyle w:val="MDPI13authornames"/>
        <w:keepNext w:val="0"/>
        <w:keepLines w:val="0"/>
      </w:pPr>
      <w:r>
        <w:rPr>
          <w:b w:val="0"/>
          <w:i w:val="0"/>
        </w:rPr>
        <w:t>Zidong Zhou, Rudzi Munap and Yue Meng</w:t>
      </w:r>
    </w:p>
    <w:p>
      <w:pPr>
        <w:pStyle w:val="MDPI32textnoindent"/>
        <w:keepNext w:val="0"/>
        <w:keepLines w:val="0"/>
      </w:pPr>
      <w:r>
        <w:rPr>
          <w:b w:val="0"/>
          <w:i w:val="0"/>
        </w:rPr>
        <w:t>This file contains Supplementary Figures S1–S2 and an index to the complete spreadsheet tables. Tables S1–S43 and Additional Tables A1–A3 are provided in Supplementary File S2. Detailed variable definitions, model specifications, and robustness results are reported in those tables. Source CSV files are provided in Supplementary File S3.</w:t>
      </w:r>
    </w:p>
    <w:p>
      <w:pPr>
        <w:pStyle w:val="MDPI52figure"/>
        <w:keepNext/>
        <w:keepLines/>
        <w:jc w:val="center"/>
      </w:pPr>
      <w:r>
        <w:drawing>
          <wp:inline xmlns:a="http://schemas.openxmlformats.org/drawingml/2006/main" xmlns:pic="http://schemas.openxmlformats.org/drawingml/2006/picture">
            <wp:extent cx="5257800" cy="3534306"/>
            <wp:docPr id="1" name="Picture 1" title="Figure S1" descr="Figure S1. Job dissatisfaction across signed planned-reference misfit bins. Positive values indicate that desired WFH exceeds employer-planned WFH."/>
            <wp:cNvGraphicFramePr>
              <a:graphicFrameLocks noChangeAspect="1"/>
            </wp:cNvGraphicFramePr>
            <a:graphic>
              <a:graphicData uri="http://schemas.openxmlformats.org/drawingml/2006/picture">
                <pic:pic>
                  <pic:nvPicPr>
                    <pic:cNvPr id="0" name="figS1_misfit_bin_prevalence.png"/>
                    <pic:cNvPicPr/>
                  </pic:nvPicPr>
                  <pic:blipFill>
                    <a:blip r:embed="rId19"/>
                    <a:stretch>
                      <a:fillRect/>
                    </a:stretch>
                  </pic:blipFill>
                  <pic:spPr>
                    <a:xfrm>
                      <a:off x="0" y="0"/>
                      <a:ext cx="5257800" cy="3534306"/>
                    </a:xfrm>
                    <a:prstGeom prst="rect"/>
                  </pic:spPr>
                </pic:pic>
              </a:graphicData>
            </a:graphic>
          </wp:inline>
        </w:drawing>
      </w:r>
    </w:p>
    <w:p>
      <w:pPr>
        <w:pStyle w:val="MDPI51figurecaption"/>
        <w:keepNext w:val="0"/>
        <w:keepLines/>
      </w:pPr>
      <w:r>
        <w:rPr>
          <w:b w:val="0"/>
          <w:i w:val="0"/>
        </w:rPr>
        <w:t>Figure S1. Job dissatisfaction across signed planned-reference misfit bins. Positive values indicate that desired WFH exceeds employer-planned WFH.</w:t>
      </w:r>
    </w:p>
    <w:p>
      <w:pPr>
        <w:pStyle w:val="MDPI52figure"/>
        <w:keepNext/>
        <w:keepLines/>
        <w:jc w:val="center"/>
      </w:pPr>
      <w:r>
        <w:drawing>
          <wp:inline xmlns:a="http://schemas.openxmlformats.org/drawingml/2006/main" xmlns:pic="http://schemas.openxmlformats.org/drawingml/2006/picture">
            <wp:extent cx="5257800" cy="4143536"/>
            <wp:docPr id="2" name="Picture 2" title="Figure S2" descr="Figure S2. Planned-only response surface. Desired and employer-planned WFH are centered at the common 2.5-day midpoint. Predictions are masked where the nearest quarter-day cell contains fewer than 30 observations; point size represents local support."/>
            <wp:cNvGraphicFramePr>
              <a:graphicFrameLocks noChangeAspect="1"/>
            </wp:cNvGraphicFramePr>
            <a:graphic>
              <a:graphicData uri="http://schemas.openxmlformats.org/drawingml/2006/picture">
                <pic:pic>
                  <pic:nvPicPr>
                    <pic:cNvPr id="0" name="figS2_planned_response_surface.png"/>
                    <pic:cNvPicPr/>
                  </pic:nvPicPr>
                  <pic:blipFill>
                    <a:blip r:embed="rId20"/>
                    <a:stretch>
                      <a:fillRect/>
                    </a:stretch>
                  </pic:blipFill>
                  <pic:spPr>
                    <a:xfrm>
                      <a:off x="0" y="0"/>
                      <a:ext cx="5257800" cy="4143536"/>
                    </a:xfrm>
                    <a:prstGeom prst="rect"/>
                  </pic:spPr>
                </pic:pic>
              </a:graphicData>
            </a:graphic>
          </wp:inline>
        </w:drawing>
      </w:r>
    </w:p>
    <w:p>
      <w:pPr>
        <w:pStyle w:val="MDPI51figurecaption"/>
        <w:keepNext w:val="0"/>
        <w:keepLines/>
      </w:pPr>
      <w:r>
        <w:rPr>
          <w:b w:val="0"/>
          <w:i w:val="0"/>
        </w:rPr>
        <w:t>Figure S2. Planned-only response surface. Desired and employer-planned WFH are centered at the common 2.5-day midpoint. Predictions are masked where the nearest quarter-day cell contains fewer than 30 observations; point size represents local support.</w:t>
      </w:r>
    </w:p>
    <w:p>
      <w:pPr>
        <w:pStyle w:val="MDPI41tablecaption"/>
        <w:keepNext/>
        <w:keepLines w:val="0"/>
      </w:pPr>
      <w:r>
        <w:rPr>
          <w:b w:val="0"/>
          <w:i w:val="0"/>
        </w:rPr>
        <w:t>Supplementary table index.</w:t>
      </w:r>
    </w:p>
    <w:tbl>
      <w:tblPr>
        <w:tblStyle w:val="MDPI41threelinetable"/>
        <w:tblW w:type="auto" w:w="0"/>
        <w:tblLook w:firstColumn="1" w:firstRow="1" w:lastColumn="0" w:lastRow="0" w:noHBand="0" w:noVBand="1" w:val="04A0"/>
      </w:tblPr>
      <w:tblGrid>
        <w:gridCol w:w="5233"/>
        <w:gridCol w:w="5233"/>
      </w:tblGrid>
      <w:tr>
        <w:trPr>
          <w:tblHeader w:val="true"/>
        </w:trPr>
        <w:tc>
          <w:tcPr>
            <w:tcW w:type="dxa" w:w="5233"/>
            <w:vAlign w:val="center"/>
          </w:tcPr>
          <w:p>
            <w:pPr>
              <w:pStyle w:val="MDPI42tablebody"/>
            </w:pPr>
            <w:r/>
            <w:r>
              <w:rPr>
                <w:b/>
              </w:rPr>
              <w:t>Supplementary item</w:t>
            </w:r>
          </w:p>
        </w:tc>
        <w:tc>
          <w:tcPr>
            <w:tcW w:type="dxa" w:w="5233"/>
            <w:vAlign w:val="center"/>
          </w:tcPr>
          <w:p>
            <w:pPr>
              <w:pStyle w:val="MDPI42tablebody"/>
            </w:pPr>
            <w:r/>
            <w:r>
              <w:rPr>
                <w:b/>
              </w:rPr>
              <w:t>CSV source</w:t>
            </w:r>
          </w:p>
        </w:tc>
      </w:tr>
      <w:tr>
        <w:trPr>
          <w:cantSplit/>
        </w:trPr>
        <w:tc>
          <w:tcPr>
            <w:tcW w:type="dxa" w:w="5233"/>
            <w:vAlign w:val="center"/>
          </w:tcPr>
          <w:p>
            <w:pPr>
              <w:pStyle w:val="MDPI42tablebody"/>
            </w:pPr>
            <w:r/>
            <w:r>
              <w:rPr>
                <w:b w:val="0"/>
              </w:rPr>
              <w:t>Table S1. Sample construction flow</w:t>
            </w:r>
          </w:p>
        </w:tc>
        <w:tc>
          <w:tcPr>
            <w:tcW w:type="dxa" w:w="5233"/>
            <w:vAlign w:val="center"/>
          </w:tcPr>
          <w:p>
            <w:pPr>
              <w:pStyle w:val="MDPI42tablebody"/>
            </w:pPr>
            <w:r/>
            <w:r>
              <w:rPr>
                <w:b w:val="0"/>
              </w:rPr>
              <w:t>revision_sample_construction_flow.csv</w:t>
            </w:r>
          </w:p>
        </w:tc>
      </w:tr>
      <w:tr>
        <w:trPr>
          <w:cantSplit/>
        </w:trPr>
        <w:tc>
          <w:tcPr>
            <w:tcW w:type="dxa" w:w="5233"/>
            <w:vAlign w:val="center"/>
          </w:tcPr>
          <w:p>
            <w:pPr>
              <w:pStyle w:val="MDPI42tablebody"/>
            </w:pPr>
            <w:r/>
            <w:r>
              <w:rPr>
                <w:b w:val="0"/>
              </w:rPr>
              <w:t>Table S2. Weighted descriptive statistics by misfit group</w:t>
            </w:r>
          </w:p>
        </w:tc>
        <w:tc>
          <w:tcPr>
            <w:tcW w:type="dxa" w:w="5233"/>
            <w:vAlign w:val="center"/>
          </w:tcPr>
          <w:p>
            <w:pPr>
              <w:pStyle w:val="MDPI42tablebody"/>
            </w:pPr>
            <w:r/>
            <w:r>
              <w:rPr>
                <w:b w:val="0"/>
              </w:rPr>
              <w:t>revision_table1_descriptives_by_misfit.csv</w:t>
            </w:r>
          </w:p>
        </w:tc>
      </w:tr>
      <w:tr>
        <w:trPr>
          <w:cantSplit/>
        </w:trPr>
        <w:tc>
          <w:tcPr>
            <w:tcW w:type="dxa" w:w="5233"/>
            <w:vAlign w:val="center"/>
          </w:tcPr>
          <w:p>
            <w:pPr>
              <w:pStyle w:val="MDPI42tablebody"/>
            </w:pPr>
            <w:r/>
            <w:r>
              <w:rPr>
                <w:b w:val="0"/>
              </w:rPr>
              <w:t>Table S3. Full weighted/unweighted association models</w:t>
            </w:r>
          </w:p>
        </w:tc>
        <w:tc>
          <w:tcPr>
            <w:tcW w:type="dxa" w:w="5233"/>
            <w:vAlign w:val="center"/>
          </w:tcPr>
          <w:p>
            <w:pPr>
              <w:pStyle w:val="MDPI42tablebody"/>
            </w:pPr>
            <w:r/>
            <w:r>
              <w:rPr>
                <w:b w:val="0"/>
              </w:rPr>
              <w:t>revision_weighted_unweighted_association.csv</w:t>
            </w:r>
          </w:p>
        </w:tc>
      </w:tr>
      <w:tr>
        <w:trPr>
          <w:cantSplit/>
        </w:trPr>
        <w:tc>
          <w:tcPr>
            <w:tcW w:type="dxa" w:w="5233"/>
            <w:vAlign w:val="center"/>
          </w:tcPr>
          <w:p>
            <w:pPr>
              <w:pStyle w:val="MDPI42tablebody"/>
            </w:pPr>
            <w:r/>
            <w:r>
              <w:rPr>
                <w:b w:val="0"/>
              </w:rPr>
              <w:t>Table S4. Association model grid with controls</w:t>
            </w:r>
          </w:p>
        </w:tc>
        <w:tc>
          <w:tcPr>
            <w:tcW w:type="dxa" w:w="5233"/>
            <w:vAlign w:val="center"/>
          </w:tcPr>
          <w:p>
            <w:pPr>
              <w:pStyle w:val="MDPI42tablebody"/>
            </w:pPr>
            <w:r/>
            <w:r>
              <w:rPr>
                <w:b w:val="0"/>
              </w:rPr>
              <w:t>revision_association_model_grid.csv</w:t>
            </w:r>
          </w:p>
        </w:tc>
      </w:tr>
      <w:tr>
        <w:trPr>
          <w:cantSplit/>
        </w:trPr>
        <w:tc>
          <w:tcPr>
            <w:tcW w:type="dxa" w:w="5233"/>
            <w:vAlign w:val="center"/>
          </w:tcPr>
          <w:p>
            <w:pPr>
              <w:pStyle w:val="MDPI42tablebody"/>
            </w:pPr>
            <w:r/>
            <w:r>
              <w:rPr>
                <w:b w:val="0"/>
              </w:rPr>
              <w:t>Table S5. Single-imputation and missingness-indicator association robustness</w:t>
            </w:r>
          </w:p>
        </w:tc>
        <w:tc>
          <w:tcPr>
            <w:tcW w:type="dxa" w:w="5233"/>
            <w:vAlign w:val="center"/>
          </w:tcPr>
          <w:p>
            <w:pPr>
              <w:pStyle w:val="MDPI42tablebody"/>
            </w:pPr>
            <w:r/>
            <w:r>
              <w:rPr>
                <w:b w:val="0"/>
              </w:rPr>
              <w:t>revision_imputed_association_robustness.csv</w:t>
            </w:r>
          </w:p>
        </w:tc>
      </w:tr>
      <w:tr>
        <w:trPr>
          <w:cantSplit/>
        </w:trPr>
        <w:tc>
          <w:tcPr>
            <w:tcW w:type="dxa" w:w="5233"/>
            <w:vAlign w:val="center"/>
          </w:tcPr>
          <w:p>
            <w:pPr>
              <w:pStyle w:val="MDPI42tablebody"/>
            </w:pPr>
            <w:r/>
            <w:r>
              <w:rPr>
                <w:b w:val="0"/>
              </w:rPr>
              <w:t>Table S6. Threshold and reference-arrangement robustness</w:t>
            </w:r>
          </w:p>
        </w:tc>
        <w:tc>
          <w:tcPr>
            <w:tcW w:type="dxa" w:w="5233"/>
            <w:vAlign w:val="center"/>
          </w:tcPr>
          <w:p>
            <w:pPr>
              <w:pStyle w:val="MDPI42tablebody"/>
            </w:pPr>
            <w:r/>
            <w:r>
              <w:rPr>
                <w:b w:val="0"/>
              </w:rPr>
              <w:t>revision_threshold_reference_lpm_robustness.csv</w:t>
            </w:r>
          </w:p>
        </w:tc>
      </w:tr>
      <w:tr>
        <w:trPr>
          <w:cantSplit/>
        </w:trPr>
        <w:tc>
          <w:tcPr>
            <w:tcW w:type="dxa" w:w="5233"/>
            <w:vAlign w:val="center"/>
          </w:tcPr>
          <w:p>
            <w:pPr>
              <w:pStyle w:val="MDPI42tablebody"/>
            </w:pPr>
            <w:r/>
            <w:r>
              <w:rPr>
                <w:b w:val="0"/>
              </w:rPr>
              <w:t>Table S7. Reference construction summary</w:t>
            </w:r>
          </w:p>
        </w:tc>
        <w:tc>
          <w:tcPr>
            <w:tcW w:type="dxa" w:w="5233"/>
            <w:vAlign w:val="center"/>
          </w:tcPr>
          <w:p>
            <w:pPr>
              <w:pStyle w:val="MDPI42tablebody"/>
            </w:pPr>
            <w:r/>
            <w:r>
              <w:rPr>
                <w:b w:val="0"/>
              </w:rPr>
              <w:t>revision_reference_construction_summary.csv</w:t>
            </w:r>
          </w:p>
        </w:tc>
      </w:tr>
      <w:tr>
        <w:trPr>
          <w:cantSplit/>
        </w:trPr>
        <w:tc>
          <w:tcPr>
            <w:tcW w:type="dxa" w:w="5233"/>
            <w:vAlign w:val="center"/>
          </w:tcPr>
          <w:p>
            <w:pPr>
              <w:pStyle w:val="MDPI42tablebody"/>
            </w:pPr>
            <w:r/>
            <w:r>
              <w:rPr>
                <w:b w:val="0"/>
              </w:rPr>
              <w:t>Table S8. Outcome-definition and misfit-definition robustness</w:t>
            </w:r>
          </w:p>
        </w:tc>
        <w:tc>
          <w:tcPr>
            <w:tcW w:type="dxa" w:w="5233"/>
            <w:vAlign w:val="center"/>
          </w:tcPr>
          <w:p>
            <w:pPr>
              <w:pStyle w:val="MDPI42tablebody"/>
            </w:pPr>
            <w:r/>
            <w:r>
              <w:rPr>
                <w:b w:val="0"/>
              </w:rPr>
              <w:t>revision_outcome_misfit_definition_robustness.csv</w:t>
            </w:r>
          </w:p>
        </w:tc>
      </w:tr>
      <w:tr>
        <w:trPr>
          <w:cantSplit/>
        </w:trPr>
        <w:tc>
          <w:tcPr>
            <w:tcW w:type="dxa" w:w="5233"/>
            <w:vAlign w:val="center"/>
          </w:tcPr>
          <w:p>
            <w:pPr>
              <w:pStyle w:val="MDPI42tablebody"/>
            </w:pPr>
            <w:r/>
            <w:r>
              <w:rPr>
                <w:b w:val="0"/>
              </w:rPr>
              <w:t>Table S9. Five-category satisfaction-score robustness</w:t>
            </w:r>
          </w:p>
        </w:tc>
        <w:tc>
          <w:tcPr>
            <w:tcW w:type="dxa" w:w="5233"/>
            <w:vAlign w:val="center"/>
          </w:tcPr>
          <w:p>
            <w:pPr>
              <w:pStyle w:val="MDPI42tablebody"/>
            </w:pPr>
            <w:r/>
            <w:r>
              <w:rPr>
                <w:b w:val="0"/>
              </w:rPr>
              <w:t>revision_satisfaction_score_robustness.csv</w:t>
            </w:r>
          </w:p>
        </w:tc>
      </w:tr>
      <w:tr>
        <w:trPr>
          <w:cantSplit/>
        </w:trPr>
        <w:tc>
          <w:tcPr>
            <w:tcW w:type="dxa" w:w="5233"/>
            <w:vAlign w:val="center"/>
          </w:tcPr>
          <w:p>
            <w:pPr>
              <w:pStyle w:val="MDPI42tablebody"/>
            </w:pPr>
            <w:r/>
            <w:r>
              <w:rPr>
                <w:b w:val="0"/>
              </w:rPr>
              <w:t>Table S10. Planned-WFH missingness profile</w:t>
            </w:r>
          </w:p>
        </w:tc>
        <w:tc>
          <w:tcPr>
            <w:tcW w:type="dxa" w:w="5233"/>
            <w:vAlign w:val="center"/>
          </w:tcPr>
          <w:p>
            <w:pPr>
              <w:pStyle w:val="MDPI42tablebody"/>
            </w:pPr>
            <w:r/>
            <w:r>
              <w:rPr>
                <w:b w:val="0"/>
              </w:rPr>
              <w:t>revision_planned_wfh_missingness_profile.csv</w:t>
            </w:r>
          </w:p>
        </w:tc>
      </w:tr>
      <w:tr>
        <w:trPr>
          <w:cantSplit/>
        </w:trPr>
        <w:tc>
          <w:tcPr>
            <w:tcW w:type="dxa" w:w="5233"/>
            <w:vAlign w:val="center"/>
          </w:tcPr>
          <w:p>
            <w:pPr>
              <w:pStyle w:val="MDPI42tablebody"/>
            </w:pPr>
            <w:r/>
            <w:r>
              <w:rPr>
                <w:b w:val="0"/>
              </w:rPr>
              <w:t>Table S11. Weight-trimming robustness</w:t>
            </w:r>
          </w:p>
        </w:tc>
        <w:tc>
          <w:tcPr>
            <w:tcW w:type="dxa" w:w="5233"/>
            <w:vAlign w:val="center"/>
          </w:tcPr>
          <w:p>
            <w:pPr>
              <w:pStyle w:val="MDPI42tablebody"/>
            </w:pPr>
            <w:r/>
            <w:r>
              <w:rPr>
                <w:b w:val="0"/>
              </w:rPr>
              <w:t>revision_weight_trimming_lpm.csv</w:t>
            </w:r>
          </w:p>
        </w:tc>
      </w:tr>
      <w:tr>
        <w:trPr>
          <w:cantSplit/>
        </w:trPr>
        <w:tc>
          <w:tcPr>
            <w:tcW w:type="dxa" w:w="5233"/>
            <w:vAlign w:val="center"/>
          </w:tcPr>
          <w:p>
            <w:pPr>
              <w:pStyle w:val="MDPI42tablebody"/>
            </w:pPr>
            <w:r/>
            <w:r>
              <w:rPr>
                <w:b w:val="0"/>
              </w:rPr>
              <w:t>Table S12. Month-cluster robust uncertainty for the M4 model</w:t>
            </w:r>
          </w:p>
        </w:tc>
        <w:tc>
          <w:tcPr>
            <w:tcW w:type="dxa" w:w="5233"/>
            <w:vAlign w:val="center"/>
          </w:tcPr>
          <w:p>
            <w:pPr>
              <w:pStyle w:val="MDPI42tablebody"/>
            </w:pPr>
            <w:r/>
            <w:r>
              <w:rPr>
                <w:b w:val="0"/>
              </w:rPr>
              <w:t>revision_wave_clustered_lpm.csv</w:t>
            </w:r>
          </w:p>
        </w:tc>
      </w:tr>
      <w:tr>
        <w:trPr>
          <w:cantSplit/>
        </w:trPr>
        <w:tc>
          <w:tcPr>
            <w:tcW w:type="dxa" w:w="5233"/>
            <w:vAlign w:val="center"/>
          </w:tcPr>
          <w:p>
            <w:pPr>
              <w:pStyle w:val="MDPI42tablebody"/>
            </w:pPr>
            <w:r/>
            <w:r>
              <w:rPr>
                <w:b w:val="0"/>
              </w:rPr>
              <w:t>Table S13. Temporal-holdout feature ablation</w:t>
            </w:r>
          </w:p>
        </w:tc>
        <w:tc>
          <w:tcPr>
            <w:tcW w:type="dxa" w:w="5233"/>
            <w:vAlign w:val="center"/>
          </w:tcPr>
          <w:p>
            <w:pPr>
              <w:pStyle w:val="MDPI42tablebody"/>
            </w:pPr>
            <w:r/>
            <w:r>
              <w:rPr>
                <w:b w:val="0"/>
              </w:rPr>
              <w:t>revision_ablation_temporal_performance.csv</w:t>
            </w:r>
          </w:p>
        </w:tc>
      </w:tr>
      <w:tr>
        <w:trPr>
          <w:cantSplit/>
        </w:trPr>
        <w:tc>
          <w:tcPr>
            <w:tcW w:type="dxa" w:w="5233"/>
            <w:vAlign w:val="center"/>
          </w:tcPr>
          <w:p>
            <w:pPr>
              <w:pStyle w:val="MDPI42tablebody"/>
            </w:pPr>
            <w:r/>
            <w:r>
              <w:rPr>
                <w:b w:val="0"/>
              </w:rPr>
              <w:t>Table S14. Directly interpretable rule definitions</w:t>
            </w:r>
          </w:p>
        </w:tc>
        <w:tc>
          <w:tcPr>
            <w:tcW w:type="dxa" w:w="5233"/>
            <w:vAlign w:val="center"/>
          </w:tcPr>
          <w:p>
            <w:pPr>
              <w:pStyle w:val="MDPI42tablebody"/>
            </w:pPr>
            <w:r/>
            <w:r>
              <w:rPr>
                <w:b w:val="0"/>
              </w:rPr>
              <w:t>revision_rule_definitions.csv</w:t>
            </w:r>
          </w:p>
        </w:tc>
      </w:tr>
      <w:tr>
        <w:trPr>
          <w:cantSplit/>
        </w:trPr>
        <w:tc>
          <w:tcPr>
            <w:tcW w:type="dxa" w:w="5233"/>
            <w:vAlign w:val="center"/>
          </w:tcPr>
          <w:p>
            <w:pPr>
              <w:pStyle w:val="MDPI42tablebody"/>
            </w:pPr>
            <w:r/>
            <w:r>
              <w:rPr>
                <w:b w:val="0"/>
              </w:rPr>
              <w:t>Table S15. Paired-bootstrap temporal-holdout comparisons</w:t>
            </w:r>
          </w:p>
        </w:tc>
        <w:tc>
          <w:tcPr>
            <w:tcW w:type="dxa" w:w="5233"/>
            <w:vAlign w:val="center"/>
          </w:tcPr>
          <w:p>
            <w:pPr>
              <w:pStyle w:val="MDPI42tablebody"/>
            </w:pPr>
            <w:r/>
            <w:r>
              <w:rPr>
                <w:b w:val="0"/>
              </w:rPr>
              <w:t>revision_paired_bootstrap_vs_rules.csv</w:t>
            </w:r>
          </w:p>
        </w:tc>
      </w:tr>
      <w:tr>
        <w:trPr>
          <w:cantSplit/>
        </w:trPr>
        <w:tc>
          <w:tcPr>
            <w:tcW w:type="dxa" w:w="5233"/>
            <w:vAlign w:val="center"/>
          </w:tcPr>
          <w:p>
            <w:pPr>
              <w:pStyle w:val="MDPI42tablebody"/>
            </w:pPr>
            <w:r/>
            <w:r>
              <w:rPr>
                <w:b w:val="0"/>
              </w:rPr>
              <w:t>Table S16. Calibration correction metrics</w:t>
            </w:r>
          </w:p>
        </w:tc>
        <w:tc>
          <w:tcPr>
            <w:tcW w:type="dxa" w:w="5233"/>
            <w:vAlign w:val="center"/>
          </w:tcPr>
          <w:p>
            <w:pPr>
              <w:pStyle w:val="MDPI42tablebody"/>
            </w:pPr>
            <w:r/>
            <w:r>
              <w:rPr>
                <w:b w:val="0"/>
              </w:rPr>
              <w:t>revision_calibration_correction.csv</w:t>
            </w:r>
          </w:p>
        </w:tc>
      </w:tr>
      <w:tr>
        <w:trPr>
          <w:cantSplit/>
        </w:trPr>
        <w:tc>
          <w:tcPr>
            <w:tcW w:type="dxa" w:w="5233"/>
            <w:vAlign w:val="center"/>
          </w:tcPr>
          <w:p>
            <w:pPr>
              <w:pStyle w:val="MDPI42tablebody"/>
            </w:pPr>
            <w:r/>
            <w:r>
              <w:rPr>
                <w:b w:val="0"/>
              </w:rPr>
              <w:t>Table S17. Top-k subgroup audit</w:t>
            </w:r>
          </w:p>
        </w:tc>
        <w:tc>
          <w:tcPr>
            <w:tcW w:type="dxa" w:w="5233"/>
            <w:vAlign w:val="center"/>
          </w:tcPr>
          <w:p>
            <w:pPr>
              <w:pStyle w:val="MDPI42tablebody"/>
            </w:pPr>
            <w:r/>
            <w:r>
              <w:rPr>
                <w:b w:val="0"/>
              </w:rPr>
              <w:t>revision_topk_subgroup_audit.csv</w:t>
            </w:r>
          </w:p>
        </w:tc>
      </w:tr>
      <w:tr>
        <w:trPr>
          <w:cantSplit/>
        </w:trPr>
        <w:tc>
          <w:tcPr>
            <w:tcW w:type="dxa" w:w="5233"/>
            <w:vAlign w:val="center"/>
          </w:tcPr>
          <w:p>
            <w:pPr>
              <w:pStyle w:val="MDPI42tablebody"/>
            </w:pPr>
            <w:r/>
            <w:r>
              <w:rPr>
                <w:b w:val="0"/>
              </w:rPr>
              <w:t>Table S18. Weighted top-k sensitivity</w:t>
            </w:r>
          </w:p>
        </w:tc>
        <w:tc>
          <w:tcPr>
            <w:tcW w:type="dxa" w:w="5233"/>
            <w:vAlign w:val="center"/>
          </w:tcPr>
          <w:p>
            <w:pPr>
              <w:pStyle w:val="MDPI42tablebody"/>
            </w:pPr>
            <w:r/>
            <w:r>
              <w:rPr>
                <w:b w:val="0"/>
              </w:rPr>
              <w:t>revision_weighted_topk_sensitivity.csv</w:t>
            </w:r>
          </w:p>
        </w:tc>
      </w:tr>
      <w:tr>
        <w:trPr>
          <w:cantSplit/>
        </w:trPr>
        <w:tc>
          <w:tcPr>
            <w:tcW w:type="dxa" w:w="5233"/>
            <w:vAlign w:val="center"/>
          </w:tcPr>
          <w:p>
            <w:pPr>
              <w:pStyle w:val="MDPI42tablebody"/>
            </w:pPr>
            <w:r/>
            <w:r>
              <w:rPr>
                <w:b w:val="0"/>
              </w:rPr>
              <w:t>Table S19. Heterogeneity interaction results</w:t>
            </w:r>
          </w:p>
        </w:tc>
        <w:tc>
          <w:tcPr>
            <w:tcW w:type="dxa" w:w="5233"/>
            <w:vAlign w:val="center"/>
          </w:tcPr>
          <w:p>
            <w:pPr>
              <w:pStyle w:val="MDPI42tablebody"/>
            </w:pPr>
            <w:r/>
            <w:r>
              <w:rPr>
                <w:b w:val="0"/>
              </w:rPr>
              <w:t>revision_heterogeneity_interactions.csv</w:t>
            </w:r>
          </w:p>
        </w:tc>
      </w:tr>
      <w:tr>
        <w:trPr>
          <w:cantSplit/>
        </w:trPr>
        <w:tc>
          <w:tcPr>
            <w:tcW w:type="dxa" w:w="5233"/>
            <w:vAlign w:val="center"/>
          </w:tcPr>
          <w:p>
            <w:pPr>
              <w:pStyle w:val="MDPI42tablebody"/>
            </w:pPr>
            <w:r/>
            <w:r>
              <w:rPr>
                <w:b w:val="0"/>
              </w:rPr>
              <w:t>Table S20. Reverse-causality sensitivity checks</w:t>
            </w:r>
          </w:p>
        </w:tc>
        <w:tc>
          <w:tcPr>
            <w:tcW w:type="dxa" w:w="5233"/>
            <w:vAlign w:val="center"/>
          </w:tcPr>
          <w:p>
            <w:pPr>
              <w:pStyle w:val="MDPI42tablebody"/>
            </w:pPr>
            <w:r/>
            <w:r>
              <w:rPr>
                <w:b w:val="0"/>
              </w:rPr>
              <w:t>revision_reverse_causality_sensitivity.csv</w:t>
            </w:r>
          </w:p>
        </w:tc>
      </w:tr>
      <w:tr>
        <w:trPr>
          <w:cantSplit/>
        </w:trPr>
        <w:tc>
          <w:tcPr>
            <w:tcW w:type="dxa" w:w="5233"/>
            <w:vAlign w:val="center"/>
          </w:tcPr>
          <w:p>
            <w:pPr>
              <w:pStyle w:val="MDPI42tablebody"/>
            </w:pPr>
            <w:r/>
            <w:r>
              <w:rPr>
                <w:b w:val="0"/>
              </w:rPr>
              <w:t>Table S21. Supplementary dissatisfaction-related outcomes</w:t>
            </w:r>
          </w:p>
        </w:tc>
        <w:tc>
          <w:tcPr>
            <w:tcW w:type="dxa" w:w="5233"/>
            <w:vAlign w:val="center"/>
          </w:tcPr>
          <w:p>
            <w:pPr>
              <w:pStyle w:val="MDPI42tablebody"/>
            </w:pPr>
            <w:r/>
            <w:r>
              <w:rPr>
                <w:b w:val="0"/>
              </w:rPr>
              <w:t>revision_supplementary_outcomes_summary.csv</w:t>
            </w:r>
          </w:p>
        </w:tc>
      </w:tr>
      <w:tr>
        <w:trPr>
          <w:cantSplit/>
        </w:trPr>
        <w:tc>
          <w:tcPr>
            <w:tcW w:type="dxa" w:w="5233"/>
            <w:vAlign w:val="center"/>
          </w:tcPr>
          <w:p>
            <w:pPr>
              <w:pStyle w:val="MDPI42tablebody"/>
            </w:pPr>
            <w:r/>
            <w:r>
              <w:rPr>
                <w:b w:val="0"/>
              </w:rPr>
              <w:t>Table S22. Outcome coding audit</w:t>
            </w:r>
          </w:p>
        </w:tc>
        <w:tc>
          <w:tcPr>
            <w:tcW w:type="dxa" w:w="5233"/>
            <w:vAlign w:val="center"/>
          </w:tcPr>
          <w:p>
            <w:pPr>
              <w:pStyle w:val="MDPI42tablebody"/>
            </w:pPr>
            <w:r/>
            <w:r>
              <w:rPr>
                <w:b w:val="0"/>
              </w:rPr>
              <w:t>revision_outcome_coding_audit.csv</w:t>
            </w:r>
          </w:p>
        </w:tc>
      </w:tr>
      <w:tr>
        <w:trPr>
          <w:cantSplit/>
        </w:trPr>
        <w:tc>
          <w:tcPr>
            <w:tcW w:type="dxa" w:w="5233"/>
            <w:vAlign w:val="center"/>
          </w:tcPr>
          <w:p>
            <w:pPr>
              <w:pStyle w:val="MDPI42tablebody"/>
            </w:pPr>
            <w:r/>
            <w:r>
              <w:rPr>
                <w:b w:val="0"/>
              </w:rPr>
              <w:t>Table S23. Model tuning and preprocessing details</w:t>
            </w:r>
          </w:p>
        </w:tc>
        <w:tc>
          <w:tcPr>
            <w:tcW w:type="dxa" w:w="5233"/>
            <w:vAlign w:val="center"/>
          </w:tcPr>
          <w:p>
            <w:pPr>
              <w:pStyle w:val="MDPI42tablebody"/>
            </w:pPr>
            <w:r/>
            <w:r>
              <w:rPr>
                <w:b w:val="0"/>
              </w:rPr>
              <w:t>revision_model_tuning_details.csv</w:t>
            </w:r>
          </w:p>
        </w:tc>
      </w:tr>
      <w:tr>
        <w:trPr>
          <w:cantSplit/>
        </w:trPr>
        <w:tc>
          <w:tcPr>
            <w:tcW w:type="dxa" w:w="5233"/>
            <w:vAlign w:val="center"/>
          </w:tcPr>
          <w:p>
            <w:pPr>
              <w:pStyle w:val="MDPI42tablebody"/>
            </w:pPr>
            <w:r/>
            <w:r>
              <w:rPr>
                <w:b w:val="0"/>
              </w:rPr>
              <w:t>Table S24. Practical ranking simulation</w:t>
            </w:r>
          </w:p>
        </w:tc>
        <w:tc>
          <w:tcPr>
            <w:tcW w:type="dxa" w:w="5233"/>
            <w:vAlign w:val="center"/>
          </w:tcPr>
          <w:p>
            <w:pPr>
              <w:pStyle w:val="MDPI42tablebody"/>
            </w:pPr>
            <w:r/>
            <w:r>
              <w:rPr>
                <w:b w:val="0"/>
              </w:rPr>
              <w:t>revision_practical_ranking_simulation.csv</w:t>
            </w:r>
          </w:p>
        </w:tc>
      </w:tr>
      <w:tr>
        <w:trPr>
          <w:cantSplit/>
        </w:trPr>
        <w:tc>
          <w:tcPr>
            <w:tcW w:type="dxa" w:w="5233"/>
            <w:vAlign w:val="center"/>
          </w:tcPr>
          <w:p>
            <w:pPr>
              <w:pStyle w:val="MDPI42tablebody"/>
            </w:pPr>
            <w:r/>
            <w:r>
              <w:rPr>
                <w:b w:val="0"/>
              </w:rPr>
              <w:t>Table S25. Permutation importance</w:t>
            </w:r>
          </w:p>
        </w:tc>
        <w:tc>
          <w:tcPr>
            <w:tcW w:type="dxa" w:w="5233"/>
            <w:vAlign w:val="center"/>
          </w:tcPr>
          <w:p>
            <w:pPr>
              <w:pStyle w:val="MDPI42tablebody"/>
            </w:pPr>
            <w:r/>
            <w:r>
              <w:rPr>
                <w:b w:val="0"/>
              </w:rPr>
              <w:t>revision_permutation_importance.csv</w:t>
            </w:r>
          </w:p>
        </w:tc>
      </w:tr>
      <w:tr>
        <w:trPr>
          <w:cantSplit/>
        </w:trPr>
        <w:tc>
          <w:tcPr>
            <w:tcW w:type="dxa" w:w="5233"/>
            <w:vAlign w:val="center"/>
          </w:tcPr>
          <w:p>
            <w:pPr>
              <w:pStyle w:val="MDPI42tablebody"/>
            </w:pPr>
            <w:r/>
            <w:r>
              <w:rPr>
                <w:b w:val="0"/>
              </w:rPr>
              <w:t>Table S26. Continuous directional-misfit robustness</w:t>
            </w:r>
          </w:p>
        </w:tc>
        <w:tc>
          <w:tcPr>
            <w:tcW w:type="dxa" w:w="5233"/>
            <w:vAlign w:val="center"/>
          </w:tcPr>
          <w:p>
            <w:pPr>
              <w:pStyle w:val="MDPI42tablebody"/>
            </w:pPr>
            <w:r/>
            <w:r>
              <w:rPr>
                <w:b w:val="0"/>
              </w:rPr>
              <w:t>revision_continuous_misfit_lpm.csv</w:t>
            </w:r>
          </w:p>
        </w:tc>
      </w:tr>
      <w:tr>
        <w:trPr>
          <w:cantSplit/>
        </w:trPr>
        <w:tc>
          <w:tcPr>
            <w:tcW w:type="dxa" w:w="5233"/>
            <w:vAlign w:val="center"/>
          </w:tcPr>
          <w:p>
            <w:pPr>
              <w:pStyle w:val="MDPI42tablebody"/>
            </w:pPr>
            <w:r/>
            <w:r>
              <w:rPr>
                <w:b w:val="0"/>
              </w:rPr>
              <w:t>Table S27. Complete-case inverse-probability weighting sensitivity</w:t>
            </w:r>
          </w:p>
        </w:tc>
        <w:tc>
          <w:tcPr>
            <w:tcW w:type="dxa" w:w="5233"/>
            <w:vAlign w:val="center"/>
          </w:tcPr>
          <w:p>
            <w:pPr>
              <w:pStyle w:val="MDPI42tablebody"/>
            </w:pPr>
            <w:r/>
            <w:r>
              <w:rPr>
                <w:b w:val="0"/>
              </w:rPr>
              <w:t>revision_ipw_complete_case_sensitivity.csv</w:t>
            </w:r>
          </w:p>
        </w:tc>
      </w:tr>
      <w:tr>
        <w:trPr>
          <w:cantSplit/>
        </w:trPr>
        <w:tc>
          <w:tcPr>
            <w:tcW w:type="dxa" w:w="5233"/>
            <w:vAlign w:val="center"/>
          </w:tcPr>
          <w:p>
            <w:pPr>
              <w:pStyle w:val="MDPI42tablebody"/>
            </w:pPr>
            <w:r/>
            <w:r>
              <w:rPr>
                <w:b w:val="0"/>
              </w:rPr>
              <w:t>Table S28. January-February 2026 temporal-holdout check</w:t>
            </w:r>
          </w:p>
        </w:tc>
        <w:tc>
          <w:tcPr>
            <w:tcW w:type="dxa" w:w="5233"/>
            <w:vAlign w:val="center"/>
          </w:tcPr>
          <w:p>
            <w:pPr>
              <w:pStyle w:val="MDPI42tablebody"/>
            </w:pPr>
            <w:r/>
            <w:r>
              <w:rPr>
                <w:b w:val="0"/>
              </w:rPr>
              <w:t>revision_temporal_stability_validation.csv</w:t>
            </w:r>
          </w:p>
        </w:tc>
      </w:tr>
      <w:tr>
        <w:trPr>
          <w:cantSplit/>
        </w:trPr>
        <w:tc>
          <w:tcPr>
            <w:tcW w:type="dxa" w:w="5233"/>
            <w:vAlign w:val="center"/>
          </w:tcPr>
          <w:p>
            <w:pPr>
              <w:pStyle w:val="MDPI42tablebody"/>
            </w:pPr>
            <w:r/>
            <w:r>
              <w:rPr>
                <w:b w:val="0"/>
              </w:rPr>
              <w:t>Table S29. Raw-score group-wise calibration diagnostics</w:t>
            </w:r>
          </w:p>
        </w:tc>
        <w:tc>
          <w:tcPr>
            <w:tcW w:type="dxa" w:w="5233"/>
            <w:vAlign w:val="center"/>
          </w:tcPr>
          <w:p>
            <w:pPr>
              <w:pStyle w:val="MDPI42tablebody"/>
            </w:pPr>
            <w:r/>
            <w:r>
              <w:rPr>
                <w:b w:val="0"/>
              </w:rPr>
              <w:t>revision_groupwise_calibration.csv</w:t>
            </w:r>
          </w:p>
        </w:tc>
      </w:tr>
      <w:tr>
        <w:trPr>
          <w:cantSplit/>
        </w:trPr>
        <w:tc>
          <w:tcPr>
            <w:tcW w:type="dxa" w:w="5233"/>
            <w:vAlign w:val="center"/>
          </w:tcPr>
          <w:p>
            <w:pPr>
              <w:pStyle w:val="MDPI42tablebody"/>
            </w:pPr>
            <w:r/>
            <w:r>
              <w:rPr>
                <w:b w:val="0"/>
              </w:rPr>
              <w:t>Table S30. Planned-only feature ablation</w:t>
            </w:r>
          </w:p>
        </w:tc>
        <w:tc>
          <w:tcPr>
            <w:tcW w:type="dxa" w:w="5233"/>
            <w:vAlign w:val="center"/>
          </w:tcPr>
          <w:p>
            <w:pPr>
              <w:pStyle w:val="MDPI42tablebody"/>
            </w:pPr>
            <w:r/>
            <w:r>
              <w:rPr>
                <w:b w:val="0"/>
              </w:rPr>
              <w:t>revision_sensitive_variable_ablation.csv</w:t>
            </w:r>
          </w:p>
        </w:tc>
      </w:tr>
      <w:tr>
        <w:trPr>
          <w:cantSplit/>
        </w:trPr>
        <w:tc>
          <w:tcPr>
            <w:tcW w:type="dxa" w:w="5233"/>
            <w:vAlign w:val="center"/>
          </w:tcPr>
          <w:p>
            <w:pPr>
              <w:pStyle w:val="MDPI42tablebody"/>
            </w:pPr>
            <w:r/>
            <w:r>
              <w:rPr>
                <w:b w:val="0"/>
              </w:rPr>
              <w:t>Table S31. Tie-robust top-k sensitivity</w:t>
            </w:r>
          </w:p>
        </w:tc>
        <w:tc>
          <w:tcPr>
            <w:tcW w:type="dxa" w:w="5233"/>
            <w:vAlign w:val="center"/>
          </w:tcPr>
          <w:p>
            <w:pPr>
              <w:pStyle w:val="MDPI42tablebody"/>
            </w:pPr>
            <w:r/>
            <w:r>
              <w:rPr>
                <w:b w:val="0"/>
              </w:rPr>
              <w:t>revision_tie_robust_topk.csv</w:t>
            </w:r>
          </w:p>
        </w:tc>
      </w:tr>
      <w:tr>
        <w:trPr>
          <w:cantSplit/>
        </w:trPr>
        <w:tc>
          <w:tcPr>
            <w:tcW w:type="dxa" w:w="5233"/>
            <w:vAlign w:val="center"/>
          </w:tcPr>
          <w:p>
            <w:pPr>
              <w:pStyle w:val="MDPI42tablebody"/>
            </w:pPr>
            <w:r/>
            <w:r>
              <w:rPr>
                <w:b w:val="0"/>
              </w:rPr>
              <w:t>Table S32. Calibrated subgroup audit</w:t>
            </w:r>
          </w:p>
        </w:tc>
        <w:tc>
          <w:tcPr>
            <w:tcW w:type="dxa" w:w="5233"/>
            <w:vAlign w:val="center"/>
          </w:tcPr>
          <w:p>
            <w:pPr>
              <w:pStyle w:val="MDPI42tablebody"/>
            </w:pPr>
            <w:r/>
            <w:r>
              <w:rPr>
                <w:b w:val="0"/>
              </w:rPr>
              <w:t>revision_groupwise_calibrated_subgroup_audit.csv</w:t>
            </w:r>
          </w:p>
        </w:tc>
      </w:tr>
      <w:tr>
        <w:trPr>
          <w:cantSplit/>
        </w:trPr>
        <w:tc>
          <w:tcPr>
            <w:tcW w:type="dxa" w:w="5233"/>
            <w:vAlign w:val="center"/>
          </w:tcPr>
          <w:p>
            <w:pPr>
              <w:pStyle w:val="MDPI42tablebody"/>
            </w:pPr>
            <w:r/>
            <w:r>
              <w:rPr>
                <w:b w:val="0"/>
              </w:rPr>
              <w:t>Table S33. Remoteability moderation and stratification</w:t>
            </w:r>
          </w:p>
        </w:tc>
        <w:tc>
          <w:tcPr>
            <w:tcW w:type="dxa" w:w="5233"/>
            <w:vAlign w:val="center"/>
          </w:tcPr>
          <w:p>
            <w:pPr>
              <w:pStyle w:val="MDPI42tablebody"/>
            </w:pPr>
            <w:r/>
            <w:r>
              <w:rPr>
                <w:b w:val="0"/>
              </w:rPr>
              <w:t>revision_remoteability_moderation.csv</w:t>
            </w:r>
          </w:p>
        </w:tc>
      </w:tr>
      <w:tr>
        <w:trPr>
          <w:cantSplit/>
        </w:trPr>
        <w:tc>
          <w:tcPr>
            <w:tcW w:type="dxa" w:w="5233"/>
            <w:vAlign w:val="center"/>
          </w:tcPr>
          <w:p>
            <w:pPr>
              <w:pStyle w:val="MDPI42tablebody"/>
            </w:pPr>
            <w:r/>
            <w:r>
              <w:rPr>
                <w:b w:val="0"/>
              </w:rPr>
              <w:t>Table S34. Signed misfit-bin prevalence</w:t>
            </w:r>
          </w:p>
        </w:tc>
        <w:tc>
          <w:tcPr>
            <w:tcW w:type="dxa" w:w="5233"/>
            <w:vAlign w:val="center"/>
          </w:tcPr>
          <w:p>
            <w:pPr>
              <w:pStyle w:val="MDPI42tablebody"/>
            </w:pPr>
            <w:r/>
            <w:r>
              <w:rPr>
                <w:b w:val="0"/>
              </w:rPr>
              <w:t>revision_misfit_bin_prevalence.csv</w:t>
            </w:r>
          </w:p>
        </w:tc>
      </w:tr>
      <w:tr>
        <w:trPr>
          <w:cantSplit/>
        </w:trPr>
        <w:tc>
          <w:tcPr>
            <w:tcW w:type="dxa" w:w="5233"/>
            <w:vAlign w:val="center"/>
          </w:tcPr>
          <w:p>
            <w:pPr>
              <w:pStyle w:val="MDPI42tablebody"/>
            </w:pPr>
            <w:r/>
            <w:r>
              <w:rPr>
                <w:b w:val="0"/>
              </w:rPr>
              <w:t>Table S35. Complete-case balance</w:t>
            </w:r>
          </w:p>
        </w:tc>
        <w:tc>
          <w:tcPr>
            <w:tcW w:type="dxa" w:w="5233"/>
            <w:vAlign w:val="center"/>
          </w:tcPr>
          <w:p>
            <w:pPr>
              <w:pStyle w:val="MDPI42tablebody"/>
            </w:pPr>
            <w:r/>
            <w:r>
              <w:rPr>
                <w:b w:val="0"/>
              </w:rPr>
              <w:t>revision_complete_case_balance.csv</w:t>
            </w:r>
          </w:p>
        </w:tc>
      </w:tr>
      <w:tr>
        <w:trPr>
          <w:cantSplit/>
        </w:trPr>
        <w:tc>
          <w:tcPr>
            <w:tcW w:type="dxa" w:w="5233"/>
            <w:vAlign w:val="center"/>
          </w:tcPr>
          <w:p>
            <w:pPr>
              <w:pStyle w:val="MDPI42tablebody"/>
            </w:pPr>
            <w:r/>
            <w:r>
              <w:rPr>
                <w:b w:val="0"/>
              </w:rPr>
              <w:t>Table S36. Planned-WFH missingness model</w:t>
            </w:r>
          </w:p>
        </w:tc>
        <w:tc>
          <w:tcPr>
            <w:tcW w:type="dxa" w:w="5233"/>
            <w:vAlign w:val="center"/>
          </w:tcPr>
          <w:p>
            <w:pPr>
              <w:pStyle w:val="MDPI42tablebody"/>
            </w:pPr>
            <w:r/>
            <w:r>
              <w:rPr>
                <w:b w:val="0"/>
              </w:rPr>
              <w:t>revision_planned_missingness_model.csv</w:t>
            </w:r>
          </w:p>
        </w:tc>
      </w:tr>
      <w:tr>
        <w:trPr>
          <w:cantSplit/>
        </w:trPr>
        <w:tc>
          <w:tcPr>
            <w:tcW w:type="dxa" w:w="5233"/>
            <w:vAlign w:val="center"/>
          </w:tcPr>
          <w:p>
            <w:pPr>
              <w:pStyle w:val="MDPI42tablebody"/>
            </w:pPr>
            <w:r/>
            <w:r>
              <w:rPr>
                <w:b w:val="0"/>
              </w:rPr>
              <w:t>Table S37. SWAA weight distribution by analytic sample</w:t>
            </w:r>
          </w:p>
        </w:tc>
        <w:tc>
          <w:tcPr>
            <w:tcW w:type="dxa" w:w="5233"/>
            <w:vAlign w:val="center"/>
          </w:tcPr>
          <w:p>
            <w:pPr>
              <w:pStyle w:val="MDPI42tablebody"/>
            </w:pPr>
            <w:r/>
            <w:r>
              <w:rPr>
                <w:b w:val="0"/>
              </w:rPr>
              <w:t>revision_weight_distribution.csv</w:t>
            </w:r>
          </w:p>
        </w:tc>
      </w:tr>
      <w:tr>
        <w:trPr>
          <w:cantSplit/>
        </w:trPr>
        <w:tc>
          <w:tcPr>
            <w:tcW w:type="dxa" w:w="5233"/>
            <w:vAlign w:val="center"/>
          </w:tcPr>
          <w:p>
            <w:pPr>
              <w:pStyle w:val="MDPI42tablebody"/>
            </w:pPr>
            <w:r/>
            <w:r>
              <w:rPr>
                <w:b w:val="0"/>
              </w:rPr>
              <w:t>Table S38. Planned-only ranking validation</w:t>
            </w:r>
          </w:p>
        </w:tc>
        <w:tc>
          <w:tcPr>
            <w:tcW w:type="dxa" w:w="5233"/>
            <w:vAlign w:val="center"/>
          </w:tcPr>
          <w:p>
            <w:pPr>
              <w:pStyle w:val="MDPI42tablebody"/>
            </w:pPr>
            <w:r/>
            <w:r>
              <w:rPr>
                <w:b w:val="0"/>
              </w:rPr>
              <w:t>revision_planned_only_ranking_validation.csv</w:t>
            </w:r>
          </w:p>
        </w:tc>
      </w:tr>
      <w:tr>
        <w:trPr>
          <w:cantSplit/>
        </w:trPr>
        <w:tc>
          <w:tcPr>
            <w:tcW w:type="dxa" w:w="5233"/>
            <w:vAlign w:val="center"/>
          </w:tcPr>
          <w:p>
            <w:pPr>
              <w:pStyle w:val="MDPI42tablebody"/>
            </w:pPr>
            <w:r/>
            <w:r>
              <w:rPr>
                <w:b w:val="0"/>
              </w:rPr>
              <w:t>Table S39. Month-by-month January-February 2026 validation</w:t>
            </w:r>
          </w:p>
        </w:tc>
        <w:tc>
          <w:tcPr>
            <w:tcW w:type="dxa" w:w="5233"/>
            <w:vAlign w:val="center"/>
          </w:tcPr>
          <w:p>
            <w:pPr>
              <w:pStyle w:val="MDPI42tablebody"/>
            </w:pPr>
            <w:r/>
            <w:r>
              <w:rPr>
                <w:b w:val="0"/>
              </w:rPr>
              <w:t>revision_monthly_2026q1_validation.csv</w:t>
            </w:r>
          </w:p>
        </w:tc>
      </w:tr>
      <w:tr>
        <w:trPr>
          <w:cantSplit/>
        </w:trPr>
        <w:tc>
          <w:tcPr>
            <w:tcW w:type="dxa" w:w="5233"/>
            <w:vAlign w:val="center"/>
          </w:tcPr>
          <w:p>
            <w:pPr>
              <w:pStyle w:val="MDPI42tablebody"/>
            </w:pPr>
            <w:r/>
            <w:r>
              <w:rPr>
                <w:b w:val="0"/>
              </w:rPr>
              <w:t>Table S40. Weighted-training sensitivity</w:t>
            </w:r>
          </w:p>
        </w:tc>
        <w:tc>
          <w:tcPr>
            <w:tcW w:type="dxa" w:w="5233"/>
            <w:vAlign w:val="center"/>
          </w:tcPr>
          <w:p>
            <w:pPr>
              <w:pStyle w:val="MDPI42tablebody"/>
            </w:pPr>
            <w:r/>
            <w:r>
              <w:rPr>
                <w:b w:val="0"/>
              </w:rPr>
              <w:t>revision_weighted_training_sensitivity.csv</w:t>
            </w:r>
          </w:p>
        </w:tc>
      </w:tr>
      <w:tr>
        <w:trPr>
          <w:cantSplit/>
        </w:trPr>
        <w:tc>
          <w:tcPr>
            <w:tcW w:type="dxa" w:w="5233"/>
            <w:vAlign w:val="center"/>
          </w:tcPr>
          <w:p>
            <w:pPr>
              <w:pStyle w:val="MDPI42tablebody"/>
            </w:pPr>
            <w:r/>
            <w:r>
              <w:rPr>
                <w:b w:val="0"/>
              </w:rPr>
              <w:t>Table S41. Ranking-model governance summary</w:t>
            </w:r>
          </w:p>
        </w:tc>
        <w:tc>
          <w:tcPr>
            <w:tcW w:type="dxa" w:w="5233"/>
            <w:vAlign w:val="center"/>
          </w:tcPr>
          <w:p>
            <w:pPr>
              <w:pStyle w:val="MDPI42tablebody"/>
            </w:pPr>
            <w:r/>
            <w:r>
              <w:rPr>
                <w:b w:val="0"/>
              </w:rPr>
              <w:t>revision_ranking_model_governance_summary.csv</w:t>
            </w:r>
          </w:p>
        </w:tc>
      </w:tr>
      <w:tr>
        <w:trPr>
          <w:cantSplit/>
        </w:trPr>
        <w:tc>
          <w:tcPr>
            <w:tcW w:type="dxa" w:w="5233"/>
            <w:vAlign w:val="center"/>
          </w:tcPr>
          <w:p>
            <w:pPr>
              <w:pStyle w:val="MDPI42tablebody"/>
            </w:pPr>
            <w:r/>
            <w:r>
              <w:rPr>
                <w:b w:val="0"/>
              </w:rPr>
              <w:t>Table S42. Subgroup safeguard simulation</w:t>
            </w:r>
          </w:p>
        </w:tc>
        <w:tc>
          <w:tcPr>
            <w:tcW w:type="dxa" w:w="5233"/>
            <w:vAlign w:val="center"/>
          </w:tcPr>
          <w:p>
            <w:pPr>
              <w:pStyle w:val="MDPI42tablebody"/>
            </w:pPr>
            <w:r/>
            <w:r>
              <w:rPr>
                <w:b w:val="0"/>
              </w:rPr>
              <w:t>revision_subgroup_safeguard_simulation.csv</w:t>
            </w:r>
          </w:p>
        </w:tc>
      </w:tr>
      <w:tr>
        <w:trPr>
          <w:cantSplit/>
        </w:trPr>
        <w:tc>
          <w:tcPr>
            <w:tcW w:type="dxa" w:w="5233"/>
            <w:vAlign w:val="center"/>
          </w:tcPr>
          <w:p>
            <w:pPr>
              <w:pStyle w:val="MDPI42tablebody"/>
            </w:pPr>
            <w:r/>
            <w:r>
              <w:rPr>
                <w:b w:val="0"/>
              </w:rPr>
              <w:t>Table S43. Planned-only polynomial response-surface analysis</w:t>
            </w:r>
          </w:p>
        </w:tc>
        <w:tc>
          <w:tcPr>
            <w:tcW w:type="dxa" w:w="5233"/>
            <w:vAlign w:val="center"/>
          </w:tcPr>
          <w:p>
            <w:pPr>
              <w:pStyle w:val="MDPI42tablebody"/>
            </w:pPr>
            <w:r/>
            <w:r>
              <w:rPr>
                <w:b w:val="0"/>
              </w:rPr>
              <w:t>revision_response_surface_planned_only.csv</w:t>
            </w:r>
          </w:p>
        </w:tc>
      </w:tr>
      <w:tr>
        <w:trPr>
          <w:cantSplit/>
        </w:trPr>
        <w:tc>
          <w:tcPr>
            <w:tcW w:type="dxa" w:w="5233"/>
            <w:vAlign w:val="center"/>
          </w:tcPr>
          <w:p>
            <w:pPr>
              <w:pStyle w:val="MDPI42tablebody"/>
            </w:pPr>
            <w:r/>
            <w:r>
              <w:rPr>
                <w:b w:val="0"/>
              </w:rPr>
              <w:t>Additional Table A1. Temporal calibration sensitivity</w:t>
            </w:r>
          </w:p>
        </w:tc>
        <w:tc>
          <w:tcPr>
            <w:tcW w:type="dxa" w:w="5233"/>
            <w:vAlign w:val="center"/>
          </w:tcPr>
          <w:p>
            <w:pPr>
              <w:pStyle w:val="MDPI42tablebody"/>
            </w:pPr>
            <w:r/>
            <w:r>
              <w:rPr>
                <w:b w:val="0"/>
              </w:rPr>
              <w:t>revision_temporal_calibration_sensitivity.csv</w:t>
            </w:r>
          </w:p>
        </w:tc>
      </w:tr>
      <w:tr>
        <w:trPr>
          <w:cantSplit/>
        </w:trPr>
        <w:tc>
          <w:tcPr>
            <w:tcW w:type="dxa" w:w="5233"/>
            <w:vAlign w:val="center"/>
          </w:tcPr>
          <w:p>
            <w:pPr>
              <w:pStyle w:val="MDPI42tablebody"/>
            </w:pPr>
            <w:r/>
            <w:r>
              <w:rPr>
                <w:b w:val="0"/>
              </w:rPr>
              <w:t>Additional Table A2. Calibration-bin source data</w:t>
            </w:r>
          </w:p>
        </w:tc>
        <w:tc>
          <w:tcPr>
            <w:tcW w:type="dxa" w:w="5233"/>
            <w:vAlign w:val="center"/>
          </w:tcPr>
          <w:p>
            <w:pPr>
              <w:pStyle w:val="MDPI42tablebody"/>
            </w:pPr>
            <w:r/>
            <w:r>
              <w:rPr>
                <w:b w:val="0"/>
              </w:rPr>
              <w:t>revision_calibration_bins.csv</w:t>
            </w:r>
          </w:p>
        </w:tc>
      </w:tr>
      <w:tr>
        <w:trPr>
          <w:cantSplit/>
        </w:trPr>
        <w:tc>
          <w:tcPr>
            <w:tcW w:type="dxa" w:w="5233"/>
            <w:vAlign w:val="center"/>
          </w:tcPr>
          <w:p>
            <w:pPr>
              <w:pStyle w:val="MDPI42tablebody"/>
            </w:pPr>
            <w:r/>
            <w:r>
              <w:rPr>
                <w:b w:val="0"/>
              </w:rPr>
              <w:t>Additional Table A3. Primary association sample by survey month</w:t>
            </w:r>
          </w:p>
        </w:tc>
        <w:tc>
          <w:tcPr>
            <w:tcW w:type="dxa" w:w="5233"/>
            <w:vAlign w:val="center"/>
          </w:tcPr>
          <w:p>
            <w:pPr>
              <w:pStyle w:val="MDPI42tablebody"/>
            </w:pPr>
            <w:r/>
            <w:r>
              <w:rPr>
                <w:b w:val="0"/>
              </w:rPr>
              <w:t>revision_association_sample_months.csv</w:t>
            </w:r>
          </w:p>
        </w:tc>
      </w:tr>
    </w:tbl>
    <w:p>
      <w:pPr>
        <w:pStyle w:val="MDPI43tablefooter"/>
      </w:pPr>
      <w:r>
        <w:rPr>
          <w:b/>
        </w:rPr>
        <w:t xml:space="preserve">Note: </w:t>
      </w:r>
      <w:r>
        <w:t>The spreadsheet workbook contains one formatted worksheet per listed table.</w:t>
      </w:r>
    </w:p>
    <w:sectPr w:rsidR="00A86E9F" w:rsidRPr="00DF3FBD" w:rsidSect="002C73C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76D2" w14:textId="77777777" w:rsidR="003B4DB6" w:rsidRPr="00AE7596" w:rsidRDefault="003B4DB6">
      <w:pPr>
        <w:spacing w:line="240" w:lineRule="auto"/>
      </w:pPr>
      <w:r w:rsidRPr="00AE7596">
        <w:separator/>
      </w:r>
    </w:p>
  </w:endnote>
  <w:endnote w:type="continuationSeparator" w:id="0">
    <w:p w14:paraId="20F61AAA" w14:textId="77777777" w:rsidR="003B4DB6" w:rsidRPr="00AE7596" w:rsidRDefault="003B4DB6">
      <w:pPr>
        <w:spacing w:line="240" w:lineRule="auto"/>
      </w:pPr>
      <w:r w:rsidRPr="00AE7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0E4" w14:textId="702E9C1E" w:rsidR="00A24DD7" w:rsidRPr="00A24DD7" w:rsidRDefault="00A24DD7" w:rsidP="00A24DD7">
    <w:pPr>
      <w:pStyle w:val="Footer"/>
      <w:spacing w:line="240" w:lineRule="auto"/>
      <w:jc w:val="right"/>
    </w:pPr>
    <w:r w:rsidRPr="0028623A">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pPr>
  </w:p>
  <w:p w14:paraId="15F40FBC" w14:textId="43D94221" w:rsidR="00C45F1E" w:rsidRPr="00AE7596" w:rsidRDefault="00C45F1E" w:rsidP="00BA570C">
    <w:pPr>
      <w:tabs>
        <w:tab w:val="right" w:pos="10466"/>
      </w:tabs>
      <w:spacing w:line="240" w:lineRule="auto"/>
      <w:rPr>
        <w:sz w:val="16"/>
        <w:szCs w:val="16"/>
      </w:rPr>
    </w:pPr>
    <w:r w:rsidRPr="00AE7596">
      <w:rPr>
        <w:i/>
        <w:iCs/>
        <w:sz w:val="16"/>
        <w:szCs w:val="16"/>
      </w:rPr>
      <w:t>Sustainability</w:t>
    </w:r>
    <w:r w:rsidRPr="00AE7596">
      <w:rPr>
        <w:sz w:val="16"/>
        <w:szCs w:val="16"/>
      </w:rPr>
      <w:t xml:space="preserve"> </w:t>
    </w:r>
    <w:r w:rsidR="00A24DD7">
      <w:rPr>
        <w:b/>
        <w:bCs/>
        <w:iCs/>
        <w:sz w:val="16"/>
        <w:szCs w:val="16"/>
      </w:rPr>
      <w:t>2026</w:t>
    </w:r>
    <w:r w:rsidR="00632077" w:rsidRPr="00AE7596">
      <w:rPr>
        <w:bCs/>
        <w:iCs/>
        <w:sz w:val="16"/>
        <w:szCs w:val="16"/>
      </w:rPr>
      <w:t>,</w:t>
    </w:r>
    <w:r w:rsidR="002C73CC" w:rsidRPr="00AE7596">
      <w:rPr>
        <w:bCs/>
        <w:i/>
        <w:iCs/>
        <w:sz w:val="16"/>
        <w:szCs w:val="16"/>
      </w:rPr>
      <w:t xml:space="preserve"> </w:t>
    </w:r>
    <w:r w:rsidR="00A24DD7">
      <w:rPr>
        <w:bCs/>
        <w:i/>
        <w:iCs/>
        <w:sz w:val="16"/>
        <w:szCs w:val="16"/>
      </w:rPr>
      <w:t>18</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A24DD7" w:rsidRPr="0028623A">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3046" w14:textId="77777777" w:rsidR="003B4DB6" w:rsidRPr="00AE7596" w:rsidRDefault="003B4DB6">
      <w:pPr>
        <w:spacing w:line="240" w:lineRule="auto"/>
      </w:pPr>
      <w:r w:rsidRPr="00AE7596">
        <w:separator/>
      </w:r>
    </w:p>
  </w:footnote>
  <w:footnote w:type="continuationSeparator" w:id="0">
    <w:p w14:paraId="05B6F36A" w14:textId="77777777" w:rsidR="003B4DB6" w:rsidRPr="00AE7596" w:rsidRDefault="003B4DB6">
      <w:pPr>
        <w:spacing w:line="240" w:lineRule="auto"/>
      </w:pPr>
      <w:r w:rsidRPr="00AE7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7BBCABF8" w:rsidR="00281E5B" w:rsidRPr="00AE7596" w:rsidRDefault="00C45F1E" w:rsidP="00BA570C">
    <w:pPr>
      <w:tabs>
        <w:tab w:val="right" w:pos="10466"/>
      </w:tabs>
      <w:adjustRightInd w:val="0"/>
      <w:snapToGrid w:val="0"/>
      <w:spacing w:line="240" w:lineRule="auto"/>
      <w:rPr>
        <w:sz w:val="16"/>
      </w:rPr>
    </w:pPr>
    <w:r w:rsidRPr="00AE7596">
      <w:rPr>
        <w:i/>
        <w:sz w:val="16"/>
      </w:rPr>
      <w:t xml:space="preserve">Sustainability </w:t>
    </w:r>
    <w:r w:rsidR="00A24DD7">
      <w:rPr>
        <w:b/>
        <w:sz w:val="16"/>
      </w:rPr>
      <w:t>2026</w:t>
    </w:r>
    <w:r w:rsidR="00632077" w:rsidRPr="00AE7596">
      <w:rPr>
        <w:sz w:val="16"/>
      </w:rPr>
      <w:t>,</w:t>
    </w:r>
    <w:r w:rsidR="002C73CC" w:rsidRPr="00AE7596">
      <w:rPr>
        <w:i/>
        <w:sz w:val="16"/>
      </w:rPr>
      <w:t xml:space="preserve"> </w:t>
    </w:r>
    <w:r w:rsidR="00A24DD7">
      <w:rPr>
        <w:i/>
        <w:sz w:val="16"/>
      </w:rPr>
      <w:t>18</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666">
    <w:abstractNumId w:val="6"/>
  </w:num>
  <w:num w:numId="2" w16cid:durableId="1509054446">
    <w:abstractNumId w:val="8"/>
  </w:num>
  <w:num w:numId="3" w16cid:durableId="1113590912">
    <w:abstractNumId w:val="4"/>
  </w:num>
  <w:num w:numId="4" w16cid:durableId="73178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608438">
    <w:abstractNumId w:val="7"/>
  </w:num>
  <w:num w:numId="6" w16cid:durableId="473181297">
    <w:abstractNumId w:val="10"/>
  </w:num>
  <w:num w:numId="7" w16cid:durableId="195194816">
    <w:abstractNumId w:val="2"/>
  </w:num>
  <w:num w:numId="8" w16cid:durableId="244807432">
    <w:abstractNumId w:val="10"/>
  </w:num>
  <w:num w:numId="9" w16cid:durableId="1036198040">
    <w:abstractNumId w:val="2"/>
  </w:num>
  <w:num w:numId="10" w16cid:durableId="993417376">
    <w:abstractNumId w:val="10"/>
  </w:num>
  <w:num w:numId="11" w16cid:durableId="124591053">
    <w:abstractNumId w:val="2"/>
  </w:num>
  <w:num w:numId="12" w16cid:durableId="1437142715">
    <w:abstractNumId w:val="11"/>
  </w:num>
  <w:num w:numId="13" w16cid:durableId="1884321205">
    <w:abstractNumId w:val="10"/>
  </w:num>
  <w:num w:numId="14" w16cid:durableId="146168580">
    <w:abstractNumId w:val="2"/>
  </w:num>
  <w:num w:numId="15" w16cid:durableId="2073844841">
    <w:abstractNumId w:val="1"/>
  </w:num>
  <w:num w:numId="16" w16cid:durableId="859780803">
    <w:abstractNumId w:val="9"/>
  </w:num>
  <w:num w:numId="17" w16cid:durableId="1042906778">
    <w:abstractNumId w:val="0"/>
  </w:num>
  <w:num w:numId="18" w16cid:durableId="1299140370">
    <w:abstractNumId w:val="10"/>
  </w:num>
  <w:num w:numId="19" w16cid:durableId="1616598920">
    <w:abstractNumId w:val="2"/>
  </w:num>
  <w:num w:numId="20" w16cid:durableId="1242713542">
    <w:abstractNumId w:val="1"/>
  </w:num>
  <w:num w:numId="21" w16cid:durableId="1702782998">
    <w:abstractNumId w:val="0"/>
  </w:num>
  <w:num w:numId="22" w16cid:durableId="1290279064">
    <w:abstractNumId w:val="5"/>
  </w:num>
  <w:num w:numId="23" w16cid:durableId="20101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B265B"/>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8623A"/>
    <w:rsid w:val="0029420B"/>
    <w:rsid w:val="00295161"/>
    <w:rsid w:val="00297A33"/>
    <w:rsid w:val="002B76DC"/>
    <w:rsid w:val="002C338C"/>
    <w:rsid w:val="002C73CC"/>
    <w:rsid w:val="002D650D"/>
    <w:rsid w:val="002E57DB"/>
    <w:rsid w:val="002E5B86"/>
    <w:rsid w:val="002F1BFE"/>
    <w:rsid w:val="002F57DE"/>
    <w:rsid w:val="00316C89"/>
    <w:rsid w:val="00326141"/>
    <w:rsid w:val="00330A75"/>
    <w:rsid w:val="003337EA"/>
    <w:rsid w:val="00337833"/>
    <w:rsid w:val="00354A5A"/>
    <w:rsid w:val="003746CD"/>
    <w:rsid w:val="003B4DB6"/>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92FA3"/>
    <w:rsid w:val="004A4BBA"/>
    <w:rsid w:val="004B0B17"/>
    <w:rsid w:val="004B4287"/>
    <w:rsid w:val="004C3F57"/>
    <w:rsid w:val="004C46B1"/>
    <w:rsid w:val="004E0F98"/>
    <w:rsid w:val="004E21A1"/>
    <w:rsid w:val="004E5DF9"/>
    <w:rsid w:val="004F0E02"/>
    <w:rsid w:val="005022B4"/>
    <w:rsid w:val="005028E5"/>
    <w:rsid w:val="00502EEE"/>
    <w:rsid w:val="00507625"/>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2B29"/>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24DD7"/>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C5F55"/>
    <w:rsid w:val="00CD3203"/>
    <w:rsid w:val="00CE7302"/>
    <w:rsid w:val="00D07230"/>
    <w:rsid w:val="00D14CE0"/>
    <w:rsid w:val="00D223A8"/>
    <w:rsid w:val="00D2684C"/>
    <w:rsid w:val="00D32E9B"/>
    <w:rsid w:val="00D474EE"/>
    <w:rsid w:val="00D501D8"/>
    <w:rsid w:val="00D55C50"/>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21A6"/>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5C99"/>
    <w:rsid w:val="00FE6213"/>
    <w:rsid w:val="00FF00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0AA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E9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86E9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86E9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86E9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86E9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86E9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86E9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86E9F"/>
    <w:rPr>
      <w:rFonts w:ascii="Palatino Linotype" w:hAnsi="Palatino Linotype"/>
      <w:noProof/>
      <w:color w:val="000000"/>
      <w:szCs w:val="18"/>
    </w:rPr>
  </w:style>
  <w:style w:type="paragraph" w:customStyle="1" w:styleId="MDPI32textnoindent">
    <w:name w:val="MDPI_3.2_text_no_indent"/>
    <w:basedOn w:val="MDPI31text"/>
    <w:qFormat/>
    <w:rsid w:val="00A86E9F"/>
    <w:pPr>
      <w:ind w:firstLine="0"/>
    </w:pPr>
  </w:style>
  <w:style w:type="paragraph" w:customStyle="1" w:styleId="MDPI31text">
    <w:name w:val="MDPI_3.1_text"/>
    <w:qFormat/>
    <w:rsid w:val="003D1D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86E9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86E9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86E9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86E9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86E9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86E9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86E9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86E9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86E9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86E9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86E9F"/>
    <w:rPr>
      <w:rFonts w:cs="Tahoma"/>
      <w:szCs w:val="18"/>
    </w:rPr>
  </w:style>
  <w:style w:type="character" w:customStyle="1" w:styleId="BalloonTextChar">
    <w:name w:val="Balloon Text Char"/>
    <w:link w:val="BalloonText"/>
    <w:uiPriority w:val="99"/>
    <w:rsid w:val="00A86E9F"/>
    <w:rPr>
      <w:rFonts w:ascii="Palatino Linotype" w:hAnsi="Palatino Linotype" w:cs="Tahoma"/>
      <w:noProof/>
      <w:color w:val="000000"/>
      <w:szCs w:val="18"/>
    </w:rPr>
  </w:style>
  <w:style w:type="character" w:styleId="LineNumber">
    <w:name w:val="line number"/>
    <w:uiPriority w:val="99"/>
    <w:rsid w:val="00AF0644"/>
    <w:rPr>
      <w:rFonts w:ascii="Palatino Linotype" w:hAnsi="Palatino Linotype"/>
      <w:sz w:val="16"/>
    </w:rPr>
  </w:style>
  <w:style w:type="table" w:customStyle="1" w:styleId="MDPI41threelin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86E9F"/>
    <w:rPr>
      <w:color w:val="0000FF"/>
      <w:u w:val="single"/>
    </w:rPr>
  </w:style>
  <w:style w:type="character" w:styleId="UnresolvedMention">
    <w:name w:val="Unresolved Mention"/>
    <w:uiPriority w:val="99"/>
    <w:semiHidden/>
    <w:unhideWhenUsed/>
    <w:rsid w:val="004C46B1"/>
    <w:rPr>
      <w:color w:val="605E5C"/>
      <w:shd w:val="clear" w:color="auto" w:fill="E1DFDD"/>
    </w:rPr>
  </w:style>
  <w:style w:type="paragraph" w:styleId="Footer">
    <w:name w:val="footer"/>
    <w:basedOn w:val="Normal"/>
    <w:link w:val="FooterChar"/>
    <w:uiPriority w:val="99"/>
    <w:rsid w:val="00A86E9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86E9F"/>
    <w:rPr>
      <w:rFonts w:ascii="Palatino Linotype" w:hAnsi="Palatino Linotype"/>
      <w:noProof/>
      <w:color w:val="000000"/>
      <w:szCs w:val="18"/>
    </w:rPr>
  </w:style>
  <w:style w:type="table" w:styleId="PlainTable4">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86E9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86E9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86E9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86E9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86E9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86E9F"/>
  </w:style>
  <w:style w:type="paragraph" w:styleId="Bibliography">
    <w:name w:val="Bibliography"/>
    <w:basedOn w:val="Normal"/>
    <w:next w:val="Normal"/>
    <w:uiPriority w:val="37"/>
    <w:semiHidden/>
    <w:unhideWhenUsed/>
    <w:rsid w:val="00A86E9F"/>
  </w:style>
  <w:style w:type="paragraph" w:styleId="BodyText">
    <w:name w:val="Body Text"/>
    <w:link w:val="BodyTextChar"/>
    <w:rsid w:val="00A86E9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86E9F"/>
    <w:rPr>
      <w:rFonts w:ascii="Palatino Linotype" w:hAnsi="Palatino Linotype"/>
      <w:color w:val="000000"/>
      <w:sz w:val="24"/>
      <w:lang w:eastAsia="de-DE"/>
    </w:rPr>
  </w:style>
  <w:style w:type="character" w:styleId="CommentReference">
    <w:name w:val="annotation reference"/>
    <w:rsid w:val="00A86E9F"/>
    <w:rPr>
      <w:sz w:val="21"/>
      <w:szCs w:val="21"/>
    </w:rPr>
  </w:style>
  <w:style w:type="paragraph" w:styleId="CommentText">
    <w:name w:val="annotation text"/>
    <w:basedOn w:val="Normal"/>
    <w:link w:val="CommentTextChar"/>
    <w:rsid w:val="00A86E9F"/>
  </w:style>
  <w:style w:type="character" w:customStyle="1" w:styleId="CommentTextChar">
    <w:name w:val="Comment Text Char"/>
    <w:link w:val="CommentText"/>
    <w:rsid w:val="00A86E9F"/>
    <w:rPr>
      <w:rFonts w:ascii="Palatino Linotype" w:hAnsi="Palatino Linotype"/>
      <w:noProof/>
      <w:color w:val="000000"/>
    </w:rPr>
  </w:style>
  <w:style w:type="paragraph" w:styleId="CommentSubject">
    <w:name w:val="annotation subject"/>
    <w:basedOn w:val="CommentText"/>
    <w:next w:val="CommentText"/>
    <w:link w:val="CommentSubjectChar"/>
    <w:rsid w:val="00A86E9F"/>
    <w:rPr>
      <w:b/>
      <w:bCs/>
    </w:rPr>
  </w:style>
  <w:style w:type="character" w:customStyle="1" w:styleId="CommentSubjectChar">
    <w:name w:val="Comment Subject Char"/>
    <w:link w:val="CommentSubject"/>
    <w:rsid w:val="00A86E9F"/>
    <w:rPr>
      <w:rFonts w:ascii="Palatino Linotype" w:hAnsi="Palatino Linotype"/>
      <w:b/>
      <w:bCs/>
      <w:noProof/>
      <w:color w:val="000000"/>
    </w:rPr>
  </w:style>
  <w:style w:type="character" w:styleId="EndnoteReference">
    <w:name w:val="endnote reference"/>
    <w:rsid w:val="00A86E9F"/>
    <w:rPr>
      <w:vertAlign w:val="superscript"/>
    </w:rPr>
  </w:style>
  <w:style w:type="paragraph" w:styleId="EndnoteText">
    <w:name w:val="endnote text"/>
    <w:basedOn w:val="Normal"/>
    <w:link w:val="EndnoteTextChar"/>
    <w:semiHidden/>
    <w:unhideWhenUsed/>
    <w:rsid w:val="00A86E9F"/>
    <w:pPr>
      <w:spacing w:line="240" w:lineRule="auto"/>
    </w:pPr>
  </w:style>
  <w:style w:type="character" w:customStyle="1" w:styleId="EndnoteTextChar">
    <w:name w:val="Endnote Text Char"/>
    <w:link w:val="EndnoteText"/>
    <w:semiHidden/>
    <w:rsid w:val="00A86E9F"/>
    <w:rPr>
      <w:rFonts w:ascii="Palatino Linotype" w:hAnsi="Palatino Linotype"/>
      <w:noProof/>
      <w:color w:val="000000"/>
    </w:rPr>
  </w:style>
  <w:style w:type="character" w:styleId="FollowedHyperlink">
    <w:name w:val="FollowedHyperlink"/>
    <w:rsid w:val="00A86E9F"/>
    <w:rPr>
      <w:color w:val="954F72"/>
      <w:u w:val="single"/>
    </w:rPr>
  </w:style>
  <w:style w:type="paragraph" w:styleId="FootnoteText">
    <w:name w:val="footnote text"/>
    <w:basedOn w:val="Normal"/>
    <w:link w:val="FootnoteTextChar"/>
    <w:semiHidden/>
    <w:unhideWhenUsed/>
    <w:rsid w:val="00A86E9F"/>
    <w:pPr>
      <w:spacing w:line="240" w:lineRule="auto"/>
    </w:pPr>
  </w:style>
  <w:style w:type="character" w:customStyle="1" w:styleId="FootnoteTextChar">
    <w:name w:val="Footnote Text Char"/>
    <w:link w:val="FootnoteText"/>
    <w:semiHidden/>
    <w:rsid w:val="00A86E9F"/>
    <w:rPr>
      <w:rFonts w:ascii="Palatino Linotype" w:hAnsi="Palatino Linotype"/>
      <w:noProof/>
      <w:color w:val="000000"/>
    </w:rPr>
  </w:style>
  <w:style w:type="paragraph" w:styleId="NormalWeb">
    <w:name w:val="Normal (Web)"/>
    <w:basedOn w:val="Normal"/>
    <w:uiPriority w:val="99"/>
    <w:rsid w:val="00A86E9F"/>
    <w:rPr>
      <w:szCs w:val="24"/>
    </w:rPr>
  </w:style>
  <w:style w:type="paragraph" w:customStyle="1" w:styleId="MsoFootnoteText0">
    <w:name w:val="MsoFootnoteText"/>
    <w:basedOn w:val="NormalWeb"/>
    <w:qFormat/>
    <w:rsid w:val="00A86E9F"/>
    <w:rPr>
      <w:rFonts w:ascii="Times New Roman" w:hAnsi="Times New Roman"/>
    </w:rPr>
  </w:style>
  <w:style w:type="character" w:styleId="PageNumber">
    <w:name w:val="page number"/>
    <w:rsid w:val="00A86E9F"/>
  </w:style>
  <w:style w:type="character" w:styleId="PlaceholderText">
    <w:name w:val="Placeholder Text"/>
    <w:uiPriority w:val="99"/>
    <w:semiHidden/>
    <w:rsid w:val="00A86E9F"/>
    <w:rPr>
      <w:color w:val="808080"/>
    </w:rPr>
  </w:style>
  <w:style w:type="paragraph" w:customStyle="1" w:styleId="MDPI71footnotes">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0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6</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Directional hybrid-work misfit and job dissatisfaction</dc:subject>
  <dc:creator>Zidong Zhou; Rudzi Munap; Yue Meng</dc:creator>
  <cp:keywords>hybrid work; work from home; social sustainability; job dissatisfaction; preference fit</cp:keywords>
  <dc:description/>
  <cp:lastModifiedBy>Zidong Zhou; Rudzi Munap; Yue Meng</cp:lastModifiedBy>
  <cp:revision>2</cp:revision>
  <dcterms:created xsi:type="dcterms:W3CDTF">2026-06-15T08:07:00Z</dcterms:created>
  <dcterms:modified xsi:type="dcterms:W3CDTF">2026-06-15T08:07:00Z</dcterms:modified>
  <cp:category>Article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51cee8ffc7805cfc103bcaa12fcf6366a37463e6398c02bb41b74ddc551b5faa</vt:lpwstr>
  </property>
</Properties>
</file>