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df" ContentType="application/pdf"/>
  <Override PartName="/word/media/rId35.pdf" ContentType="application/pdf"/>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Reverse</w:t>
      </w:r>
      <w:r>
        <w:t xml:space="preserve"> </w:t>
      </w:r>
      <w:r>
        <w:t xml:space="preserve">Discovery</w:t>
      </w:r>
      <w:r>
        <w:t xml:space="preserve"> </w:t>
      </w:r>
      <w:r>
        <w:t xml:space="preserve">of</w:t>
      </w:r>
      <w:r>
        <w:t xml:space="preserve"> </w:t>
      </w:r>
      <w:r>
        <w:t xml:space="preserve">Sustainable</w:t>
      </w:r>
      <w:r>
        <w:t xml:space="preserve"> </w:t>
      </w:r>
      <w:r>
        <w:t xml:space="preserve">Aviation</w:t>
      </w:r>
      <w:r>
        <w:t xml:space="preserve"> </w:t>
      </w:r>
      <w:r>
        <w:t xml:space="preserve">Fuels</w:t>
      </w:r>
      <w:r>
        <w:t xml:space="preserve"> </w:t>
      </w:r>
      <w:r>
        <w:t xml:space="preserve">Based</w:t>
      </w:r>
      <w:r>
        <w:t xml:space="preserve"> </w:t>
      </w:r>
      <w:r>
        <w:t xml:space="preserve">on</w:t>
      </w:r>
      <w:r>
        <w:t xml:space="preserve"> </w:t>
      </w:r>
      <w:r>
        <w:t xml:space="preserve">TenGAN</w:t>
      </w:r>
    </w:p>
    <w:p>
      <w:pPr>
        <w:pStyle w:val="Author"/>
      </w:pPr>
      <w:r>
        <w:t xml:space="preserve">Karl</w:t>
      </w:r>
      <w:r>
        <w:t xml:space="preserve"> </w:t>
      </w:r>
      <w:r>
        <w:t xml:space="preserve">I.</w:t>
      </w:r>
      <w:r>
        <w:t xml:space="preserve"> </w:t>
      </w:r>
      <w:r>
        <w:t xml:space="preserve">Neivelt</w:t>
      </w:r>
    </w:p>
    <w:p>
      <w:pPr>
        <w:pStyle w:val="AbstractTitle"/>
      </w:pPr>
      <w:r>
        <w:t xml:space="preserve">Abstract</w:t>
      </w:r>
    </w:p>
    <w:p>
      <w:pPr>
        <w:pStyle w:val="Abstract"/>
      </w:pPr>
      <w:r>
        <w:t xml:space="preserve">The</w:t>
      </w:r>
      <w:r>
        <w:t xml:space="preserve"> </w:t>
      </w:r>
      <w:r>
        <w:t xml:space="preserve">aviation</w:t>
      </w:r>
      <w:r>
        <w:t xml:space="preserve"> </w:t>
      </w:r>
      <w:r>
        <w:t xml:space="preserve">industry</w:t>
      </w:r>
      <w:r>
        <w:t xml:space="preserve"> </w:t>
      </w:r>
      <w:r>
        <w:t xml:space="preserve">is</w:t>
      </w:r>
      <w:r>
        <w:t xml:space="preserve"> </w:t>
      </w:r>
      <w:r>
        <w:t xml:space="preserve">responsible</w:t>
      </w:r>
      <w:r>
        <w:t xml:space="preserve"> </w:t>
      </w:r>
      <w:r>
        <w:t xml:space="preserve">for</w:t>
      </w:r>
      <w:r>
        <w:t xml:space="preserve"> </w:t>
      </w:r>
      <w:r>
        <w:t xml:space="preserve">3%</w:t>
      </w:r>
      <w:r>
        <w:t xml:space="preserve"> </w:t>
      </w:r>
      <w:r>
        <w:t xml:space="preserve">of</w:t>
      </w:r>
      <w:r>
        <w:t xml:space="preserve"> </w:t>
      </w:r>
      <w:r>
        <w:t xml:space="preserve">global</w:t>
      </w:r>
      <w:r>
        <w:t xml:space="preserve"> </w:t>
      </w:r>
      <w:r>
        <w:t xml:space="preserve">greenhouse‑gas</w:t>
      </w:r>
      <w:r>
        <w:t xml:space="preserve"> </w:t>
      </w:r>
      <w:r>
        <w:t xml:space="preserve">emissions.</w:t>
      </w:r>
      <w:r>
        <w:t xml:space="preserve"> </w:t>
      </w:r>
      <w:r>
        <w:t xml:space="preserve">Sustainable</w:t>
      </w:r>
      <w:r>
        <w:t xml:space="preserve"> </w:t>
      </w:r>
      <w:r>
        <w:t xml:space="preserve">aviation</w:t>
      </w:r>
      <w:r>
        <w:t xml:space="preserve"> </w:t>
      </w:r>
      <w:r>
        <w:t xml:space="preserve">fuels</w:t>
      </w:r>
      <w:r>
        <w:t xml:space="preserve"> </w:t>
      </w:r>
      <w:r>
        <w:t xml:space="preserve">(SAFs)</w:t>
      </w:r>
      <w:r>
        <w:t xml:space="preserve"> </w:t>
      </w:r>
      <w:r>
        <w:t xml:space="preserve">can</w:t>
      </w:r>
      <w:r>
        <w:t xml:space="preserve"> </w:t>
      </w:r>
      <w:r>
        <w:t xml:space="preserve">close</w:t>
      </w:r>
      <w:r>
        <w:t xml:space="preserve"> </w:t>
      </w:r>
      <w:r>
        <w:t xml:space="preserve">part</w:t>
      </w:r>
      <w:r>
        <w:t xml:space="preserve"> </w:t>
      </w:r>
      <w:r>
        <w:t xml:space="preserve">of</w:t>
      </w:r>
      <w:r>
        <w:t xml:space="preserve"> </w:t>
      </w:r>
      <w:r>
        <w:t xml:space="preserve">the</w:t>
      </w:r>
      <w:r>
        <w:t xml:space="preserve"> </w:t>
      </w:r>
      <w:r>
        <w:t xml:space="preserve">gap,</w:t>
      </w:r>
      <w:r>
        <w:t xml:space="preserve"> </w:t>
      </w:r>
      <w:r>
        <w:t xml:space="preserve">yet</w:t>
      </w:r>
      <w:r>
        <w:t xml:space="preserve"> </w:t>
      </w:r>
      <w:r>
        <w:t xml:space="preserve">their</w:t>
      </w:r>
      <w:r>
        <w:t xml:space="preserve"> </w:t>
      </w:r>
      <w:r>
        <w:t xml:space="preserve">molecular</w:t>
      </w:r>
      <w:r>
        <w:t xml:space="preserve"> </w:t>
      </w:r>
      <w:r>
        <w:t xml:space="preserve">design</w:t>
      </w:r>
      <w:r>
        <w:t xml:space="preserve"> </w:t>
      </w:r>
      <w:r>
        <w:t xml:space="preserve">space</w:t>
      </w:r>
      <w:r>
        <w:t xml:space="preserve"> </w:t>
      </w:r>
      <w:r>
        <w:t xml:space="preserve">spans</w:t>
      </w:r>
      <w:r>
        <w:t xml:space="preserve"> </w:t>
      </w:r>
      <m:oMath>
        <m:sSup>
          <m:e>
            <m:r>
              <m:t>10</m:t>
            </m:r>
          </m:e>
          <m:sup>
            <m:r>
              <m:t>60</m:t>
            </m:r>
          </m:sup>
        </m:sSup>
      </m:oMath>
      <w:r>
        <w:t xml:space="preserve"> </w:t>
      </w:r>
      <w:r>
        <w:t xml:space="preserve">possibilities,</w:t>
      </w:r>
      <w:r>
        <w:t xml:space="preserve"> </w:t>
      </w:r>
      <w:r>
        <w:t xml:space="preserve">making</w:t>
      </w:r>
      <w:r>
        <w:t xml:space="preserve"> </w:t>
      </w:r>
      <w:r>
        <w:t xml:space="preserve">brute‑force</w:t>
      </w:r>
      <w:r>
        <w:t xml:space="preserve"> </w:t>
      </w:r>
      <w:r>
        <w:t xml:space="preserve">experimental</w:t>
      </w:r>
      <w:r>
        <w:t xml:space="preserve"> </w:t>
      </w:r>
      <w:r>
        <w:t xml:space="preserve">discovery</w:t>
      </w:r>
      <w:r>
        <w:t xml:space="preserve"> </w:t>
      </w:r>
      <w:r>
        <w:t xml:space="preserve">pointless.</w:t>
      </w:r>
      <w:r>
        <w:t xml:space="preserve"> </w:t>
      </w:r>
      <w:r>
        <w:t xml:space="preserve">Here,</w:t>
      </w:r>
      <w:r>
        <w:t xml:space="preserve"> </w:t>
      </w:r>
      <w:r>
        <w:t xml:space="preserve">we</w:t>
      </w:r>
      <w:r>
        <w:t xml:space="preserve"> </w:t>
      </w:r>
      <w:r>
        <w:t xml:space="preserve">adapt</w:t>
      </w:r>
      <w:r>
        <w:t xml:space="preserve"> </w:t>
      </w:r>
      <w:r>
        <w:t xml:space="preserve">the</w:t>
      </w:r>
      <w:r>
        <w:t xml:space="preserve"> </w:t>
      </w:r>
      <w:r>
        <w:t xml:space="preserve">Transformer-Encoder</w:t>
      </w:r>
      <w:r>
        <w:t xml:space="preserve"> </w:t>
      </w:r>
      <w:r>
        <w:t xml:space="preserve">Generative</w:t>
      </w:r>
      <w:r>
        <w:t xml:space="preserve"> </w:t>
      </w:r>
      <w:r>
        <w:t xml:space="preserve">Adversarial</w:t>
      </w:r>
      <w:r>
        <w:t xml:space="preserve"> </w:t>
      </w:r>
      <w:r>
        <w:t xml:space="preserve">Network</w:t>
      </w:r>
      <w:r>
        <w:t xml:space="preserve"> </w:t>
      </w:r>
      <w:r>
        <w:t xml:space="preserve">(</w:t>
      </w:r>
      <w:r>
        <w:rPr>
          <w:iCs/>
          <w:i/>
        </w:rPr>
        <w:t xml:space="preserve">TenGAN</w:t>
      </w:r>
      <w:r>
        <w:t xml:space="preserve">)</w:t>
      </w:r>
      <w:r>
        <w:t xml:space="preserve"> </w:t>
      </w:r>
      <w:r>
        <w:t xml:space="preserve">architecture</w:t>
      </w:r>
      <w:r>
        <w:t xml:space="preserve"> </w:t>
      </w:r>
      <w:r>
        <w:t xml:space="preserve">to</w:t>
      </w:r>
      <w:r>
        <w:t xml:space="preserve"> </w:t>
      </w:r>
      <w:r>
        <w:t xml:space="preserve">generate</w:t>
      </w:r>
      <w:r>
        <w:t xml:space="preserve"> </w:t>
      </w:r>
      <w:r>
        <w:t xml:space="preserve">candidate</w:t>
      </w:r>
      <w:r>
        <w:t xml:space="preserve"> </w:t>
      </w:r>
      <w:r>
        <w:t xml:space="preserve">SAF</w:t>
      </w:r>
      <w:r>
        <w:t xml:space="preserve"> </w:t>
      </w:r>
      <w:r>
        <w:t xml:space="preserve">molecules,</w:t>
      </w:r>
      <w:r>
        <w:t xml:space="preserve"> </w:t>
      </w:r>
      <w:r>
        <w:t xml:space="preserve">followed</w:t>
      </w:r>
      <w:r>
        <w:t xml:space="preserve"> </w:t>
      </w:r>
      <w:r>
        <w:t xml:space="preserve">by</w:t>
      </w:r>
      <w:r>
        <w:t xml:space="preserve"> </w:t>
      </w:r>
      <w:r>
        <w:t xml:space="preserve">rapid</w:t>
      </w:r>
      <w:r>
        <w:t xml:space="preserve"> </w:t>
      </w:r>
      <w:r>
        <w:t xml:space="preserve">property</w:t>
      </w:r>
      <w:r>
        <w:t xml:space="preserve"> </w:t>
      </w:r>
      <w:r>
        <w:t xml:space="preserve">screening</w:t>
      </w:r>
      <w:r>
        <w:t xml:space="preserve"> </w:t>
      </w:r>
      <w:r>
        <w:t xml:space="preserve">using</w:t>
      </w:r>
      <w:r>
        <w:t xml:space="preserve"> </w:t>
      </w:r>
      <w:r>
        <w:t xml:space="preserve">group‑contribution</w:t>
      </w:r>
      <w:r>
        <w:t xml:space="preserve"> </w:t>
      </w:r>
      <w:r>
        <w:t xml:space="preserve">estimators</w:t>
      </w:r>
      <w:r>
        <w:t xml:space="preserve"> </w:t>
      </w:r>
      <w:r>
        <w:t xml:space="preserve">and</w:t>
      </w:r>
      <w:r>
        <w:t xml:space="preserve"> </w:t>
      </w:r>
      <w:r>
        <w:t xml:space="preserve">genetic</w:t>
      </w:r>
      <w:r>
        <w:t xml:space="preserve"> </w:t>
      </w:r>
      <w:r>
        <w:t xml:space="preserve">optimisation.</w:t>
      </w:r>
      <w:r>
        <w:t xml:space="preserve"> </w:t>
      </w:r>
      <w:r>
        <w:t xml:space="preserve">Predictive</w:t>
      </w:r>
      <w:r>
        <w:t xml:space="preserve"> </w:t>
      </w:r>
      <w:r>
        <w:t xml:space="preserve">uncertainties</w:t>
      </w:r>
      <w:r>
        <w:t xml:space="preserve"> </w:t>
      </w:r>
      <w:r>
        <w:t xml:space="preserve">are</w:t>
      </w:r>
      <w:r>
        <w:t xml:space="preserve"> </w:t>
      </w:r>
      <w:r>
        <w:t xml:space="preserve">quantified</w:t>
      </w:r>
      <w:r>
        <w:t xml:space="preserve"> </w:t>
      </w:r>
      <w:r>
        <w:t xml:space="preserve">with</w:t>
      </w:r>
      <w:r>
        <w:t xml:space="preserve"> </w:t>
      </w:r>
      <w:r>
        <w:t xml:space="preserve">conformal</w:t>
      </w:r>
      <w:r>
        <w:t xml:space="preserve"> </w:t>
      </w:r>
      <w:r>
        <w:t xml:space="preserve">prediction.</w:t>
      </w:r>
      <w:r>
        <w:t xml:space="preserve"> </w:t>
      </w:r>
      <w:r>
        <w:t xml:space="preserve">Finally,</w:t>
      </w:r>
      <w:r>
        <w:t xml:space="preserve"> </w:t>
      </w:r>
      <w:r>
        <w:t xml:space="preserve">first‑principles</w:t>
      </w:r>
      <w:r>
        <w:t xml:space="preserve"> </w:t>
      </w:r>
      <w:r>
        <w:t xml:space="preserve">density</w:t>
      </w:r>
      <w:r>
        <w:t xml:space="preserve"> </w:t>
      </w:r>
      <w:r>
        <w:t xml:space="preserve">functional</w:t>
      </w:r>
      <w:r>
        <w:t xml:space="preserve"> </w:t>
      </w:r>
      <w:r>
        <w:t xml:space="preserve">theory</w:t>
      </w:r>
      <w:r>
        <w:t xml:space="preserve"> </w:t>
      </w:r>
      <w:r>
        <w:t xml:space="preserve">(DFT)</w:t>
      </w:r>
      <w:r>
        <w:t xml:space="preserve"> </w:t>
      </w:r>
      <w:r>
        <w:t xml:space="preserve">validates</w:t>
      </w:r>
      <w:r>
        <w:t xml:space="preserve"> </w:t>
      </w:r>
      <w:r>
        <w:t xml:space="preserve">combustion‑relevant</w:t>
      </w:r>
      <w:r>
        <w:t xml:space="preserve"> </w:t>
      </w:r>
      <w:r>
        <w:t xml:space="preserve">descriptors</w:t>
      </w:r>
      <w:r>
        <w:t xml:space="preserve"> </w:t>
      </w:r>
      <w:r>
        <w:t xml:space="preserve">for</w:t>
      </w:r>
      <w:r>
        <w:t xml:space="preserve"> </w:t>
      </w:r>
      <w:r>
        <w:t xml:space="preserve">the</w:t>
      </w:r>
      <w:r>
        <w:t xml:space="preserve"> </w:t>
      </w:r>
      <w:r>
        <w:t xml:space="preserve">top</w:t>
      </w:r>
      <w:r>
        <w:t xml:space="preserve"> </w:t>
      </w:r>
      <w:r>
        <w:t xml:space="preserve">ten</w:t>
      </w:r>
      <w:r>
        <w:t xml:space="preserve"> </w:t>
      </w:r>
      <w:r>
        <w:t xml:space="preserve">molecules.</w:t>
      </w:r>
      <w:r>
        <w:t xml:space="preserve"> </w:t>
      </w:r>
      <w:r>
        <w:t xml:space="preserve">The</w:t>
      </w:r>
      <w:r>
        <w:t xml:space="preserve"> </w:t>
      </w:r>
      <w:r>
        <w:t xml:space="preserve">workflow</w:t>
      </w:r>
      <w:r>
        <w:t xml:space="preserve"> </w:t>
      </w:r>
      <w:r>
        <w:t xml:space="preserve">illustrates</w:t>
      </w:r>
      <w:r>
        <w:t xml:space="preserve"> </w:t>
      </w:r>
      <w:r>
        <w:t xml:space="preserve">how</w:t>
      </w:r>
      <w:r>
        <w:t xml:space="preserve"> </w:t>
      </w:r>
      <w:r>
        <w:t xml:space="preserve">generative</w:t>
      </w:r>
      <w:r>
        <w:t xml:space="preserve"> </w:t>
      </w:r>
      <w:r>
        <w:t xml:space="preserve">adversarial</w:t>
      </w:r>
      <w:r>
        <w:t xml:space="preserve"> </w:t>
      </w:r>
      <w:r>
        <w:t xml:space="preserve">networks</w:t>
      </w:r>
      <w:r>
        <w:t xml:space="preserve"> </w:t>
      </w:r>
      <w:r>
        <w:t xml:space="preserve">aid</w:t>
      </w:r>
      <w:r>
        <w:t xml:space="preserve"> </w:t>
      </w:r>
      <w:r>
        <w:t xml:space="preserve">in</w:t>
      </w:r>
      <w:r>
        <w:t xml:space="preserve"> </w:t>
      </w:r>
      <w:r>
        <w:t xml:space="preserve">property‑oriented</w:t>
      </w:r>
      <w:r>
        <w:t xml:space="preserve"> </w:t>
      </w:r>
      <w:r>
        <w:t xml:space="preserve">fuel</w:t>
      </w:r>
      <w:r>
        <w:t xml:space="preserve"> </w:t>
      </w:r>
      <w:r>
        <w:t xml:space="preserve">discovery.</w:t>
      </w:r>
    </w:p>
    <w:p>
      <w:pPr>
        <w:pStyle w:val="FirstParagraph"/>
      </w:pPr>
      <w:r>
        <w:t xml:space="preserve">Some journals require a graphical entry for the Table of Contents.</w:t>
      </w:r>
      <w:r>
        <w:t xml:space="preserve"> </w:t>
      </w:r>
      <w:r>
        <w:t xml:space="preserve">This should be laid out</w:t>
      </w:r>
      <w:r>
        <w:t xml:space="preserve"> </w:t>
      </w:r>
      <w:r>
        <w:t xml:space="preserve">“</w:t>
      </w:r>
      <w:r>
        <w:t xml:space="preserve">print ready</w:t>
      </w:r>
      <w:r>
        <w:t xml:space="preserve">”</w:t>
      </w:r>
      <w:r>
        <w:t xml:space="preserve"> </w:t>
      </w:r>
      <w:r>
        <w:t xml:space="preserve">so that the sizing of the</w:t>
      </w:r>
      <w:r>
        <w:t xml:space="preserve"> </w:t>
      </w:r>
      <w:r>
        <w:t xml:space="preserve">text is correct.</w:t>
      </w:r>
    </w:p>
    <w:p>
      <w:pPr>
        <w:pStyle w:val="BodyText"/>
      </w:pPr>
      <w:r>
        <w:t xml:space="preserve">Inside the</w:t>
      </w:r>
      <w:r>
        <w:t xml:space="preserve"> </w:t>
      </w:r>
      <w:r>
        <w:rPr>
          <w:rStyle w:val="VerbatimChar"/>
        </w:rPr>
        <w:t xml:space="preserve">tocentry</w:t>
      </w:r>
      <w:r>
        <w:t xml:space="preserve"> </w:t>
      </w:r>
      <w:r>
        <w:t xml:space="preserve">environment, the font used is Helvetica</w:t>
      </w:r>
      <w:r>
        <w:t xml:space="preserve"> </w:t>
      </w:r>
      <w:r>
        <w:t xml:space="preserve">8 pt, as required by</w:t>
      </w:r>
      <w:r>
        <w:t xml:space="preserve"> </w:t>
      </w:r>
      <w:r>
        <w:rPr>
          <w:iCs/>
          <w:i/>
        </w:rPr>
        <w:t xml:space="preserve">Journal of the American Chemical</w:t>
      </w:r>
      <w:r>
        <w:rPr>
          <w:iCs/>
          <w:i/>
        </w:rPr>
        <w:t xml:space="preserve"> </w:t>
      </w:r>
      <w:r>
        <w:rPr>
          <w:iCs/>
          <w:i/>
        </w:rPr>
        <w:t xml:space="preserve">Society</w:t>
      </w:r>
      <w:r>
        <w:t xml:space="preserve">.</w:t>
      </w:r>
    </w:p>
    <w:p>
      <w:pPr>
        <w:pStyle w:val="BodyText"/>
      </w:pPr>
      <w:r>
        <w:t xml:space="preserve">The surrounding frame is 9 cm by 3.5 cm, which is the maximum</w:t>
      </w:r>
      <w:r>
        <w:t xml:space="preserve"> </w:t>
      </w:r>
      <w:r>
        <w:t xml:space="preserve">permitted for</w:t>
      </w:r>
      <w:r>
        <w:t xml:space="preserve"> </w:t>
      </w:r>
      <w:r>
        <w:rPr>
          <w:iCs/>
          <w:i/>
        </w:rPr>
        <w:t xml:space="preserve">Journal of the American Chemical Society</w:t>
      </w:r>
      <w:r>
        <w:t xml:space="preserve"> </w:t>
      </w:r>
      <w:r>
        <w:t xml:space="preserve">graphical table of content entries. The box will not resize if the</w:t>
      </w:r>
      <w:r>
        <w:t xml:space="preserve"> </w:t>
      </w:r>
      <w:r>
        <w:t xml:space="preserve">content is too big: instead it will overflow the edge of the box.</w:t>
      </w:r>
    </w:p>
    <w:p>
      <w:pPr>
        <w:pStyle w:val="BodyText"/>
      </w:pPr>
      <w:r>
        <w:t xml:space="preserve">This box and the associated title will always be printed on a</w:t>
      </w:r>
      <w:r>
        <w:t xml:space="preserve"> </w:t>
      </w:r>
      <w:r>
        <w:t xml:space="preserve">separate page at the end of the document.</w:t>
      </w:r>
    </w:p>
    <w:bookmarkStart w:id="20" w:name="introduction"/>
    <w:p>
      <w:pPr>
        <w:pStyle w:val="Heading1"/>
      </w:pPr>
      <w:r>
        <w:t xml:space="preserve">Introduction</w:t>
      </w:r>
    </w:p>
    <w:p>
      <w:pPr>
        <w:pStyle w:val="FirstParagraph"/>
      </w:pPr>
      <w:r>
        <w:t xml:space="preserve">3-4 paragraphs with 20-30 references. Take lots from literature review</w:t>
      </w:r>
      <w:r>
        <w:br/>
      </w:r>
      <w:r>
        <w:t xml:space="preserve">P1: SAFs are important, but finding suitable molecules with wanted properties is hard. Experiments take a long time and lots of resouces.</w:t>
      </w:r>
      <w:r>
        <w:br/>
      </w:r>
      <w:r>
        <w:t xml:space="preserve">P2: Recent developments in machine learning methods and computer hardware allow for inverse design of SAFs. Although various generative AI model arhcitectures, such as VAEs, GPTs, have foud usage, generative adversarial networks have found the widest traction</w:t>
      </w:r>
      <w:r>
        <w:t xml:space="preserve"> </w:t>
      </w:r>
      <w:r>
        <w:t xml:space="preserve">. These authors have developed models to generate novel drug molecules. These authors have developed models to generate novel fuel molecules. This is why they are not ideal.</w:t>
      </w:r>
      <w:r>
        <w:br/>
      </w:r>
      <w:r>
        <w:t xml:space="preserve">P3: Here, we present modified version of TenGAN</w:t>
      </w:r>
      <w:r>
        <w:t xml:space="preserve"> </w:t>
      </w:r>
      <w:r>
        <w:t xml:space="preserve">, that has been adapted to the wanted domain. New reward function has been designed incorporating x and y. Generated moelcules have been screened using QSPR methods. Lastly, reactivity properties of top cnadidate molecules have been validated using DFT.</w:t>
      </w:r>
    </w:p>
    <w:bookmarkEnd w:id="20"/>
    <w:bookmarkStart w:id="28" w:name="methods"/>
    <w:p>
      <w:pPr>
        <w:pStyle w:val="Heading1"/>
      </w:pPr>
      <w:r>
        <w:t xml:space="preserve">Methods</w:t>
      </w:r>
    </w:p>
    <w:bookmarkStart w:id="21" w:name="data-preparation"/>
    <w:p>
      <w:pPr>
        <w:pStyle w:val="Heading2"/>
      </w:pPr>
      <w:r>
        <w:t xml:space="preserve">Data Preparation</w:t>
      </w:r>
    </w:p>
    <w:p>
      <w:pPr>
        <w:pStyle w:val="FirstParagraph"/>
      </w:pPr>
      <w:r>
        <w:t xml:space="preserve">Coconut is a large and freely available dataset of organic bio-based molecules. We selected 3500 molecules by restricting it to only C8-C16 saturated carbohydrates with up to one O atom. In addition, the dataset was supplemented with aviation fuel molecules from x. Molecules were represented as SMILES.</w:t>
      </w:r>
    </w:p>
    <w:bookmarkEnd w:id="21"/>
    <w:bookmarkStart w:id="25" w:name="tengan"/>
    <w:p>
      <w:pPr>
        <w:pStyle w:val="Heading2"/>
      </w:pPr>
      <w:r>
        <w:t xml:space="preserve">TenGAN</w:t>
      </w:r>
    </w:p>
    <w:p>
      <w:pPr>
        <w:pStyle w:val="FirstParagraph"/>
      </w:pPr>
      <w:r>
        <w:t xml:space="preserve">Talk about Variant SMILES, Transformer Encoder as the discriminator and generator, RL, mini-batch discriminator.</w:t>
      </w:r>
    </w:p>
    <w:bookmarkStart w:id="22" w:name="reinforcement-learning"/>
    <w:p>
      <w:pPr>
        <w:pStyle w:val="Heading3"/>
      </w:pPr>
      <w:r>
        <w:t xml:space="preserve">Reinforcement learning</w:t>
      </w:r>
    </w:p>
    <w:p>
      <w:pPr>
        <w:pStyle w:val="FirstParagraph"/>
      </w:pPr>
      <w:r>
        <w:t xml:space="preserve">Include full new reward function equation!</w:t>
      </w:r>
    </w:p>
    <w:p>
      <w:pPr>
        <w:pStyle w:val="BodyText"/>
      </w:pPr>
      <w:r>
        <w:t xml:space="preserve">The objective function for the generator is given as:</w:t>
      </w:r>
    </w:p>
    <w:p>
      <w:pPr>
        <w:pStyle w:val="BodyText"/>
      </w:pPr>
      <m:oMathPara>
        <m:oMathParaPr>
          <m:jc m:val="center"/>
        </m:oMathParaPr>
        <m:oMath>
          <m:r>
            <m:t>J</m:t>
          </m:r>
          <m:d>
            <m:dPr>
              <m:begChr m:val="("/>
              <m:endChr m:val=")"/>
              <m:sepChr m:val=""/>
              <m:grow/>
            </m:dPr>
            <m:e>
              <m:r>
                <m:t>θ</m:t>
              </m:r>
            </m:e>
          </m:d>
          <m:r>
            <m:t> </m:t>
          </m:r>
          <m:r>
            <m:rPr>
              <m:sty m:val="p"/>
            </m:rPr>
            <m:t>=</m:t>
          </m:r>
          <m:r>
            <m:t> </m:t>
          </m:r>
          <m:nary>
            <m:naryPr>
              <m:chr m:val="∑"/>
              <m:limLoc m:val="undOvr"/>
              <m:subHide m:val="off"/>
              <m:supHide m:val="on"/>
            </m:naryPr>
            <m:sub>
              <m:sSub>
                <m:e>
                  <m:r>
                    <m:t>Y</m:t>
                  </m:r>
                </m:e>
                <m:sub>
                  <m:r>
                    <m:t>1</m:t>
                  </m:r>
                  <m:r>
                    <m:rPr>
                      <m:sty m:val="p"/>
                    </m:rPr>
                    <m:t>:</m:t>
                  </m:r>
                  <m:r>
                    <m:t>T</m:t>
                  </m:r>
                </m:sub>
              </m:sSub>
            </m:sub>
            <m:sup>
              <m:r>
                <m:t>​</m:t>
              </m:r>
            </m:sup>
            <m:e>
              <m:sSub>
                <m:e>
                  <m:r>
                    <m:t>G</m:t>
                  </m:r>
                </m:e>
                <m:sub>
                  <m:r>
                    <m:t>θ</m:t>
                  </m:r>
                </m:sub>
              </m:sSub>
            </m:e>
          </m:nary>
          <m:d>
            <m:dPr>
              <m:begChr m:val="("/>
              <m:endChr m:val=")"/>
              <m:sepChr m:val=""/>
              <m:grow/>
            </m:dPr>
            <m:e>
              <m:sSub>
                <m:e>
                  <m:r>
                    <m:t>Y</m:t>
                  </m:r>
                </m:e>
                <m:sub>
                  <m:r>
                    <m:t>1</m:t>
                  </m:r>
                  <m:r>
                    <m:rPr>
                      <m:sty m:val="p"/>
                    </m:rPr>
                    <m:t>:</m:t>
                  </m:r>
                  <m:r>
                    <m:t>T</m:t>
                  </m:r>
                </m:sub>
              </m:sSub>
              <m:r>
                <m:rPr>
                  <m:sty m:val="p"/>
                </m:rPr>
                <m:t>∣</m:t>
              </m:r>
              <m:sSub>
                <m:e>
                  <m:r>
                    <m:t>s</m:t>
                  </m:r>
                </m:e>
                <m:sub>
                  <m:r>
                    <m:t>0</m:t>
                  </m:r>
                </m:sub>
              </m:sSub>
            </m:e>
          </m:d>
          <m:r>
            <m:t> </m:t>
          </m:r>
          <m:r>
            <m:rPr>
              <m:sty m:val="p"/>
            </m:rPr>
            <m:t>⋅</m:t>
          </m:r>
          <m:r>
            <m:t> </m:t>
          </m:r>
          <m:sSup>
            <m:e>
              <m:r>
                <m:t>R</m:t>
              </m:r>
            </m:e>
            <m:sup>
              <m:sSub>
                <m:e>
                  <m:r>
                    <m:t>G</m:t>
                  </m:r>
                </m:e>
                <m:sub>
                  <m:r>
                    <m:t>θ</m:t>
                  </m:r>
                </m:sub>
              </m:sSub>
            </m:sup>
          </m:sSup>
          <m:d>
            <m:dPr>
              <m:begChr m:val="("/>
              <m:endChr m:val=")"/>
              <m:sepChr m:val=""/>
              <m:grow/>
            </m:dPr>
            <m:e>
              <m:sSub>
                <m:e>
                  <m:r>
                    <m:t>Y</m:t>
                  </m:r>
                </m:e>
                <m:sub>
                  <m:r>
                    <m:t>1</m:t>
                  </m:r>
                  <m:r>
                    <m:rPr>
                      <m:sty m:val="p"/>
                    </m:rPr>
                    <m:t>:</m:t>
                  </m:r>
                  <m:r>
                    <m:t>T</m:t>
                  </m:r>
                  <m:r>
                    <m:rPr>
                      <m:sty m:val="p"/>
                    </m:rPr>
                    <m:t>−</m:t>
                  </m:r>
                  <m:r>
                    <m:t>1</m:t>
                  </m:r>
                </m:sub>
              </m:sSub>
              <m:r>
                <m:rPr>
                  <m:sty m:val="p"/>
                </m:rPr>
                <m:t>,</m:t>
              </m:r>
              <m:r>
                <m:t> </m:t>
              </m:r>
              <m:sSub>
                <m:e>
                  <m:r>
                    <m:t>y</m:t>
                  </m:r>
                </m:e>
                <m:sub>
                  <m:r>
                    <m:t>T</m:t>
                  </m:r>
                </m:sub>
              </m:sSub>
            </m:e>
          </m:d>
          <m:r>
            <m:rPr>
              <m:sty m:val="p"/>
            </m:rPr>
            <m:t>,</m:t>
          </m:r>
        </m:oMath>
      </m:oMathPara>
    </w:p>
    <w:p>
      <w:pPr>
        <w:pStyle w:val="FirstParagraph"/>
      </w:pPr>
      <w:r>
        <w:t xml:space="preserve">Where</w:t>
      </w:r>
      <w:r>
        <w:t xml:space="preserve"> </w:t>
      </w:r>
      <m:oMath>
        <m:sSup>
          <m:e>
            <m:r>
              <m:t>R</m:t>
            </m:r>
          </m:e>
          <m:sup>
            <m:sSub>
              <m:e>
                <m:r>
                  <m:t>G</m:t>
                </m:r>
              </m:e>
              <m:sub>
                <m:r>
                  <m:t>θ</m:t>
                </m:r>
              </m:sub>
            </m:sSub>
          </m:sup>
        </m:sSup>
      </m:oMath>
      <w:r>
        <w:t xml:space="preserve"> </w:t>
      </w:r>
      <w:r>
        <w:t xml:space="preserve">denotes the action-value function, ….</w:t>
      </w:r>
    </w:p>
    <w:p>
      <w:pPr>
        <w:pStyle w:val="BodyText"/>
      </w:pPr>
      <m:oMathPara>
        <m:oMathParaPr>
          <m:jc m:val="center"/>
        </m:oMathParaPr>
        <m:oMath>
          <m:sSup>
            <m:e>
              <m:r>
                <m:t>R</m:t>
              </m:r>
            </m:e>
            <m:sup>
              <m:sSub>
                <m:e>
                  <m:r>
                    <m:t>G</m:t>
                  </m:r>
                </m:e>
                <m:sub>
                  <m:r>
                    <m:t>θ</m:t>
                  </m:r>
                </m:sub>
              </m:sSub>
            </m:sup>
          </m:sSup>
          <m:d>
            <m:dPr>
              <m:begChr m:val="("/>
              <m:endChr m:val=")"/>
              <m:sepChr m:val=""/>
              <m:grow/>
            </m:dPr>
            <m:e>
              <m:sSub>
                <m:e>
                  <m:r>
                    <m:t>Y</m:t>
                  </m:r>
                </m:e>
                <m:sub>
                  <m:r>
                    <m:t>1</m:t>
                  </m:r>
                  <m:r>
                    <m:rPr>
                      <m:sty m:val="p"/>
                    </m:rPr>
                    <m:t>:</m:t>
                  </m:r>
                  <m:r>
                    <m:t>T</m:t>
                  </m:r>
                  <m:r>
                    <m:rPr>
                      <m:sty m:val="p"/>
                    </m:rPr>
                    <m:t>−</m:t>
                  </m:r>
                  <m:r>
                    <m:t>1</m:t>
                  </m:r>
                </m:sub>
              </m:sSub>
              <m:r>
                <m:rPr>
                  <m:sty m:val="p"/>
                </m:rPr>
                <m:t>,</m:t>
              </m:r>
              <m:r>
                <m:t> </m:t>
              </m:r>
              <m:sSub>
                <m:e>
                  <m:r>
                    <m:t>y</m:t>
                  </m:r>
                </m:e>
                <m:sub>
                  <m:r>
                    <m:t>T</m:t>
                  </m:r>
                </m:sub>
              </m:sSub>
            </m:e>
          </m:d>
          <m:r>
            <m:t> </m:t>
          </m:r>
          <m:r>
            <m:rPr>
              <m:sty m:val="p"/>
            </m:rPr>
            <m:t>=</m:t>
          </m:r>
          <m:r>
            <m:t> </m:t>
          </m:r>
          <m:r>
            <m:t>λ</m:t>
          </m:r>
          <m:r>
            <m:t> </m:t>
          </m:r>
          <m:sSub>
            <m:e>
              <m:r>
                <m:t>D</m:t>
              </m:r>
            </m:e>
            <m:sub>
              <m:r>
                <m:t>ϕ</m:t>
              </m:r>
            </m:sub>
          </m:sSub>
          <m:d>
            <m:dPr>
              <m:begChr m:val="("/>
              <m:endChr m:val=")"/>
              <m:sepChr m:val=""/>
              <m:grow/>
            </m:dPr>
            <m:e>
              <m:sSub>
                <m:e>
                  <m:r>
                    <m:t>Y</m:t>
                  </m:r>
                </m:e>
                <m:sub>
                  <m:r>
                    <m:t>1</m:t>
                  </m:r>
                  <m:r>
                    <m:rPr>
                      <m:sty m:val="p"/>
                    </m:rPr>
                    <m:t>:</m:t>
                  </m:r>
                  <m:r>
                    <m:t>T</m:t>
                  </m:r>
                </m:sub>
              </m:sSub>
            </m:e>
          </m:d>
          <m:r>
            <m:t> </m:t>
          </m:r>
          <m:r>
            <m:rPr>
              <m:sty m:val="p"/>
            </m:rPr>
            <m:t>+</m:t>
          </m:r>
          <m:r>
            <m:t> </m:t>
          </m:r>
          <m:d>
            <m:dPr>
              <m:begChr m:val="("/>
              <m:endChr m:val=")"/>
              <m:sepChr m:val=""/>
              <m:grow/>
            </m:dPr>
            <m:e>
              <m:r>
                <m:t>1</m:t>
              </m:r>
              <m:r>
                <m:rPr>
                  <m:sty m:val="p"/>
                </m:rPr>
                <m:t>−</m:t>
              </m:r>
              <m:r>
                <m:t>λ</m:t>
              </m:r>
            </m:e>
          </m:d>
          <m:r>
            <m:t> </m:t>
          </m:r>
          <m:r>
            <m:t>O</m:t>
          </m:r>
          <m:d>
            <m:dPr>
              <m:begChr m:val="("/>
              <m:endChr m:val=")"/>
              <m:sepChr m:val=""/>
              <m:grow/>
            </m:dPr>
            <m:e>
              <m:sSub>
                <m:e>
                  <m:r>
                    <m:t>Y</m:t>
                  </m:r>
                </m:e>
                <m:sub>
                  <m:r>
                    <m:t>1</m:t>
                  </m:r>
                  <m:r>
                    <m:rPr>
                      <m:sty m:val="p"/>
                    </m:rPr>
                    <m:t>:</m:t>
                  </m:r>
                  <m:r>
                    <m:t>T</m:t>
                  </m:r>
                </m:sub>
              </m:sSub>
            </m:e>
          </m:d>
          <m:r>
            <m:t> </m:t>
          </m:r>
          <m:r>
            <m:t>P</m:t>
          </m:r>
          <m:d>
            <m:dPr>
              <m:begChr m:val="("/>
              <m:endChr m:val=")"/>
              <m:sepChr m:val=""/>
              <m:grow/>
            </m:dPr>
            <m:e>
              <m:sSub>
                <m:e>
                  <m:r>
                    <m:t>Y</m:t>
                  </m:r>
                </m:e>
                <m:sub>
                  <m:r>
                    <m:t>1</m:t>
                  </m:r>
                  <m:r>
                    <m:rPr>
                      <m:sty m:val="p"/>
                    </m:rPr>
                    <m:t>:</m:t>
                  </m:r>
                  <m:r>
                    <m:t>T</m:t>
                  </m:r>
                </m:sub>
              </m:sSub>
            </m:e>
          </m:d>
          <m:r>
            <m:t> </m:t>
          </m:r>
          <m:r>
            <m:rPr>
              <m:sty m:val="p"/>
            </m:rPr>
            <m:t>−</m:t>
          </m:r>
          <m:r>
            <m:t> </m:t>
          </m:r>
          <m:r>
            <m:t>b</m:t>
          </m:r>
          <m:d>
            <m:dPr>
              <m:begChr m:val="("/>
              <m:endChr m:val=")"/>
              <m:sepChr m:val=""/>
              <m:grow/>
            </m:dPr>
            <m:e>
              <m:sSub>
                <m:e>
                  <m:r>
                    <m:t>Y</m:t>
                  </m:r>
                </m:e>
                <m:sub>
                  <m:r>
                    <m:t>1</m:t>
                  </m:r>
                  <m:r>
                    <m:rPr>
                      <m:sty m:val="p"/>
                    </m:rPr>
                    <m:t>:</m:t>
                  </m:r>
                  <m:r>
                    <m:t>T</m:t>
                  </m:r>
                </m:sub>
              </m:sSub>
            </m:e>
          </m:d>
          <m:r>
            <m:rPr>
              <m:sty m:val="p"/>
            </m:rPr>
            <m:t>,</m:t>
          </m:r>
        </m:oMath>
      </m:oMathPara>
    </w:p>
    <w:p>
      <w:pPr>
        <w:pStyle w:val="FirstParagraph"/>
      </w:pPr>
      <w:r>
        <w:t xml:space="preserve">Here,</w:t>
      </w:r>
      <w:r>
        <w:t xml:space="preserve"> </w:t>
      </w:r>
      <m:oMath>
        <m:r>
          <m:t>O</m:t>
        </m:r>
      </m:oMath>
      <w:r>
        <w:t xml:space="preserve"> </w:t>
      </w:r>
      <w:r>
        <w:t xml:space="preserve">and</w:t>
      </w:r>
      <w:r>
        <w:t xml:space="preserve"> </w:t>
      </w:r>
      <m:oMath>
        <m:r>
          <m:t>P</m:t>
        </m:r>
      </m:oMath>
      <w:r>
        <w:t xml:space="preserve"> </w:t>
      </w:r>
      <w:r>
        <w:t xml:space="preserve">are the property scores and the ratio of the number of unique SMILES strings to the product of the number of strings and the number of repeated strings, respectively.</w:t>
      </w:r>
      <w:r>
        <w:t xml:space="preserve"> </w:t>
      </w:r>
      <m:oMath>
        <m:r>
          <m:t>λ</m:t>
        </m:r>
      </m:oMath>
      <w:r>
        <w:t xml:space="preserve"> </w:t>
      </w:r>
      <w:r>
        <w:t xml:space="preserve">is a hyperparameter that is used to balance the strengths of GAN and RL.</w:t>
      </w:r>
    </w:p>
    <w:bookmarkEnd w:id="22"/>
    <w:bookmarkStart w:id="23" w:name="hyperparameter-optimisation"/>
    <w:p>
      <w:pPr>
        <w:pStyle w:val="Heading3"/>
      </w:pPr>
      <w:r>
        <w:t xml:space="preserve">Hyperparameter Optimisation</w:t>
      </w:r>
    </w:p>
    <w:p>
      <w:pPr>
        <w:pStyle w:val="FirstParagraph"/>
      </w:pPr>
      <w:r>
        <w:t xml:space="preserve">Talk about initial HPE, list hyperparameter and ranges tested, test method. Talk about the effect of WGAN and Mini-batch. Talk about effect of pre-training.</w:t>
      </w:r>
    </w:p>
    <w:bookmarkEnd w:id="23"/>
    <w:bookmarkStart w:id="24" w:name="comparison-with-other-models"/>
    <w:p>
      <w:pPr>
        <w:pStyle w:val="Heading3"/>
      </w:pPr>
      <w:r>
        <w:t xml:space="preserve">Comparison With Other Models</w:t>
      </w:r>
    </w:p>
    <w:p>
      <w:pPr>
        <w:pStyle w:val="FirstParagraph"/>
      </w:pPr>
      <w:r>
        <w:t xml:space="preserve">Big nice table with compatisons to other models, e.g. MolGAN, MolGPT, some VAE</w:t>
      </w:r>
    </w:p>
    <w:bookmarkEnd w:id="24"/>
    <w:bookmarkEnd w:id="25"/>
    <w:bookmarkStart w:id="26" w:name="molecule-screening"/>
    <w:p>
      <w:pPr>
        <w:pStyle w:val="Heading2"/>
      </w:pPr>
      <w:r>
        <w:t xml:space="preserve">Molecule Screening</w:t>
      </w:r>
    </w:p>
    <w:p>
      <w:pPr>
        <w:pStyle w:val="FirstParagraph"/>
      </w:pPr>
      <w:r>
        <w:t xml:space="preserve">Talk about how molecules were screened and filtered.</w:t>
      </w:r>
    </w:p>
    <w:bookmarkEnd w:id="26"/>
    <w:bookmarkStart w:id="27" w:name="validation"/>
    <w:p>
      <w:pPr>
        <w:pStyle w:val="Heading2"/>
      </w:pPr>
      <w:r>
        <w:t xml:space="preserve">Validation</w:t>
      </w:r>
    </w:p>
    <w:p>
      <w:pPr>
        <w:pStyle w:val="FirstParagraph"/>
      </w:pPr>
      <w:r>
        <w:t xml:space="preserve">Talk about validation done using Gaussian 16, specifying the proccess and referencing the methodology from another paper.</w:t>
      </w:r>
    </w:p>
    <w:bookmarkEnd w:id="27"/>
    <w:bookmarkEnd w:id="28"/>
    <w:bookmarkStart w:id="38" w:name="results"/>
    <w:p>
      <w:pPr>
        <w:pStyle w:val="Heading1"/>
      </w:pPr>
      <w:r>
        <w:t xml:space="preserve">Results</w:t>
      </w:r>
    </w:p>
    <w:p>
      <w:pPr>
        <w:pStyle w:val="FirstParagraph"/>
      </w:pPr>
      <w:r>
        <w:t xml:space="preserve">Strctures, energies, orbitals, etc from Gaussian, Everything from tengan</w:t>
      </w:r>
      <w:r>
        <w:br/>
      </w:r>
      <w:r>
        <w:t xml:space="preserve">Heatmaps, loss curves, SHAP, feature importance, domain of applicability, bear plot, etc</w:t>
      </w:r>
    </w:p>
    <w:p>
      <w:pPr>
        <w:pStyle w:val="CaptionedFigure"/>
      </w:pPr>
      <w:r>
        <w:drawing>
          <wp:inline>
            <wp:extent cx="4267200" cy="2804160"/>
            <wp:effectExtent b="0" l="0" r="0" t="0"/>
            <wp:docPr descr="" title="" id="30" name="Picture"/>
            <a:graphic>
              <a:graphicData uri="http://schemas.openxmlformats.org/drawingml/2006/picture">
                <pic:pic>
                  <pic:nvPicPr>
                    <pic:cNvPr descr="./figures/eval_metrics_epochs.pdf" id="31" name="Picture"/>
                    <pic:cNvPicPr>
                      <a:picLocks noChangeArrowheads="1" noChangeAspect="1"/>
                    </pic:cNvPicPr>
                  </pic:nvPicPr>
                  <pic:blipFill>
                    <a:blip r:embed="rId29"/>
                    <a:stretch>
                      <a:fillRect/>
                    </a:stretch>
                  </pic:blipFill>
                  <pic:spPr bwMode="auto">
                    <a:xfrm>
                      <a:off x="0" y="0"/>
                      <a:ext cx="4267200" cy="2804160"/>
                    </a:xfrm>
                    <a:prstGeom prst="rect">
                      <a:avLst/>
                    </a:prstGeom>
                    <a:noFill/>
                    <a:ln w="9525">
                      <a:noFill/>
                      <a:headEnd/>
                      <a:tailEnd/>
                    </a:ln>
                  </pic:spPr>
                </pic:pic>
              </a:graphicData>
            </a:graphic>
          </wp:inline>
        </w:drawing>
      </w:r>
    </w:p>
    <w:p>
      <w:pPr>
        <w:pStyle w:val="ImageCaption"/>
      </w:pPr>
      <w:r>
        <w:t xml:space="preserve">Example of evolution of TenGAN metrics over epochs.</w:t>
      </w:r>
      <w:r>
        <w:t xml:space="preserve"> </w:t>
      </w:r>
    </w:p>
    <w:p>
      <w:pPr>
        <w:pStyle w:val="CaptionedFigure"/>
      </w:pPr>
      <w:r>
        <w:drawing>
          <wp:inline>
            <wp:extent cx="2667000" cy="2188825"/>
            <wp:effectExtent b="0" l="0" r="0" t="0"/>
            <wp:docPr descr="" title="" id="33" name="Picture"/>
            <a:graphic>
              <a:graphicData uri="http://schemas.openxmlformats.org/drawingml/2006/picture">
                <pic:pic>
                  <pic:nvPicPr>
                    <pic:cNvPr descr="./figures/metric_corr.pdf" id="34" name="Picture"/>
                    <pic:cNvPicPr>
                      <a:picLocks noChangeArrowheads="1" noChangeAspect="1"/>
                    </pic:cNvPicPr>
                  </pic:nvPicPr>
                  <pic:blipFill>
                    <a:blip r:embed="rId32"/>
                    <a:stretch>
                      <a:fillRect/>
                    </a:stretch>
                  </pic:blipFill>
                  <pic:spPr bwMode="auto">
                    <a:xfrm>
                      <a:off x="0" y="0"/>
                      <a:ext cx="2667000" cy="2188825"/>
                    </a:xfrm>
                    <a:prstGeom prst="rect">
                      <a:avLst/>
                    </a:prstGeom>
                    <a:noFill/>
                    <a:ln w="9525">
                      <a:noFill/>
                      <a:headEnd/>
                      <a:tailEnd/>
                    </a:ln>
                  </pic:spPr>
                </pic:pic>
              </a:graphicData>
            </a:graphic>
          </wp:inline>
        </w:drawing>
      </w:r>
    </w:p>
    <w:p>
      <w:pPr>
        <w:pStyle w:val="ImageCaption"/>
      </w:pPr>
      <w:r>
        <w:t xml:space="preserve">Heat map of performance metrics from hyperparameter optimisation.</w:t>
      </w:r>
      <w:r>
        <w:t xml:space="preserve"> </w:t>
      </w:r>
    </w:p>
    <w:p>
      <w:pPr>
        <w:pStyle w:val="CaptionedFigure"/>
      </w:pPr>
      <w:r>
        <w:drawing>
          <wp:inline>
            <wp:extent cx="5334000" cy="3200400"/>
            <wp:effectExtent b="0" l="0" r="0" t="0"/>
            <wp:docPr descr="" title="" id="36" name="Picture"/>
            <a:graphic>
              <a:graphicData uri="http://schemas.openxmlformats.org/drawingml/2006/picture">
                <pic:pic>
                  <pic:nvPicPr>
                    <pic:cNvPr descr="./figures/grouped_bar_metrics_colorblind.pdf"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Effect of Wasserstein Distance and Mini-Batch discrimination on the output evaluation metrics.</w:t>
      </w:r>
      <w:r>
        <w:t xml:space="preserve"> </w:t>
      </w:r>
    </w:p>
    <w:bookmarkEnd w:id="38"/>
    <w:bookmarkStart w:id="39" w:name="discussion"/>
    <w:p>
      <w:pPr>
        <w:pStyle w:val="Heading1"/>
      </w:pPr>
      <w:r>
        <w:t xml:space="preserve">Discussion</w:t>
      </w:r>
    </w:p>
    <w:p>
      <w:pPr>
        <w:pStyle w:val="FirstParagraph"/>
      </w:pPr>
      <w:r>
        <w:t xml:space="preserve">internal and external. internal - compare model to itself; external - compare my results to what is SOTA.</w:t>
      </w:r>
    </w:p>
    <w:bookmarkEnd w:id="39"/>
    <w:bookmarkStart w:id="40" w:name="conclusion"/>
    <w:p>
      <w:pPr>
        <w:pStyle w:val="Heading1"/>
      </w:pPr>
      <w:r>
        <w:t xml:space="preserve">Conclusion</w:t>
      </w:r>
    </w:p>
    <w:p>
      <w:pPr>
        <w:pStyle w:val="FirstParagraph"/>
      </w:pPr>
      <w:r>
        <w:t xml:space="preserve">answer to the problem that we were trying to solve. open for perspectives.</w:t>
      </w:r>
    </w:p>
    <w:bookmarkEnd w:id="40"/>
    <w:bookmarkStart w:id="46" w:name="outline"/>
    <w:p>
      <w:pPr>
        <w:pStyle w:val="Heading1"/>
      </w:pPr>
      <w:r>
        <w:t xml:space="preserve">Outline</w:t>
      </w:r>
    </w:p>
    <w:bookmarkStart w:id="41" w:name="floats"/>
    <w:p>
      <w:pPr>
        <w:pStyle w:val="Heading2"/>
      </w:pPr>
      <w:r>
        <w:t xml:space="preserve">Floats</w:t>
      </w:r>
    </w:p>
    <w:p>
      <w:pPr>
        <w:pStyle w:val="FirstParagraph"/>
      </w:pPr>
      <w:r>
        <w:t xml:space="preserve">New float types are automatically set up by the class file. The</w:t>
      </w:r>
      <w:r>
        <w:t xml:space="preserve"> </w:t>
      </w:r>
      <w:r>
        <w:t xml:space="preserve">means graphics are included as follows (Scheme </w:t>
      </w:r>
      <w:hyperlink w:anchor="sch:example">
        <w:r>
          <w:rPr>
            <w:rStyle w:val="Hyperlink"/>
          </w:rPr>
          <w:t xml:space="preserve">[sch:example]</w:t>
        </w:r>
      </w:hyperlink>
      <w:r>
        <w:t xml:space="preserve">). As</w:t>
      </w:r>
      <w:r>
        <w:t xml:space="preserve"> </w:t>
      </w:r>
      <w:r>
        <w:t xml:space="preserve">illustrated, the float is</w:t>
      </w:r>
      <w:r>
        <w:t xml:space="preserve"> </w:t>
      </w:r>
      <w:r>
        <w:t xml:space="preserve">“</w:t>
      </w:r>
      <w:r>
        <w:t xml:space="preserve">here</w:t>
      </w:r>
      <w:r>
        <w:t xml:space="preserve">”</w:t>
      </w:r>
      <w:r>
        <w:t xml:space="preserve"> </w:t>
      </w:r>
      <w:r>
        <w:t xml:space="preserve">if possible.</w:t>
      </w:r>
    </w:p>
    <w:p>
      <w:pPr>
        <w:pStyle w:val="BodyText"/>
      </w:pPr>
      <w:r>
        <w:t xml:space="preserve">Your scheme graphic would go here:</w:t>
      </w:r>
      <w:r>
        <w:t xml:space="preserve"> </w:t>
      </w:r>
      <w:r>
        <w:rPr>
          <w:rStyle w:val="VerbatimChar"/>
        </w:rPr>
        <w:t xml:space="preserve">.eps</w:t>
      </w:r>
      <w:r>
        <w:t xml:space="preserve"> </w:t>
      </w:r>
      <w:r>
        <w:t xml:space="preserve">format</w:t>
      </w:r>
      <w:r>
        <w:br/>
      </w:r>
      <w:r>
        <w:t xml:space="preserve">for LaTeX  or</w:t>
      </w:r>
      <w:r>
        <w:t xml:space="preserve"> </w:t>
      </w:r>
      <w:r>
        <w:rPr>
          <w:rStyle w:val="VerbatimChar"/>
        </w:rPr>
        <w:t xml:space="preserve">.pdf</w:t>
      </w:r>
      <w:r>
        <w:t xml:space="preserve"> </w:t>
      </w:r>
      <w:r>
        <w:t xml:space="preserve">(or</w:t>
      </w:r>
      <w:r>
        <w:t xml:space="preserve"> </w:t>
      </w:r>
      <w:r>
        <w:rPr>
          <w:rStyle w:val="VerbatimChar"/>
        </w:rPr>
        <w:t xml:space="preserve">.png</w:t>
      </w:r>
      <w:r>
        <w:t xml:space="preserve">) for pdfLaTeX</w:t>
      </w:r>
      <w:r>
        <w:br/>
      </w:r>
      <w:r>
        <w:rPr>
          <w:smallCaps/>
        </w:rPr>
        <w:t xml:space="preserve">ChemDraw</w:t>
      </w:r>
      <w:r>
        <w:t xml:space="preserve"> </w:t>
      </w:r>
      <w:r>
        <w:t xml:space="preserve">files are best saved as</w:t>
      </w:r>
      <w:r>
        <w:t xml:space="preserve"> </w:t>
      </w:r>
      <w:r>
        <w:rPr>
          <w:rStyle w:val="VerbatimChar"/>
        </w:rPr>
        <w:t xml:space="preserve">.eps</w:t>
      </w:r>
      <w:r>
        <w:t xml:space="preserve"> </w:t>
      </w:r>
      <w:r>
        <w:t xml:space="preserve">files:</w:t>
      </w:r>
      <w:r>
        <w:br/>
      </w:r>
      <w:r>
        <w:t xml:space="preserve">these can be scaled without loss of quality, and can be</w:t>
      </w:r>
      <w:r>
        <w:br/>
      </w:r>
      <w:r>
        <w:t xml:space="preserve">converted to</w:t>
      </w:r>
      <w:r>
        <w:t xml:space="preserve"> </w:t>
      </w:r>
      <w:r>
        <w:rPr>
          <w:rStyle w:val="VerbatimChar"/>
        </w:rPr>
        <w:t xml:space="preserve">.pdf</w:t>
      </w:r>
      <w:r>
        <w:t xml:space="preserve"> </w:t>
      </w:r>
      <w:r>
        <w:t xml:space="preserve">files easily using</w:t>
      </w:r>
      <w:r>
        <w:t xml:space="preserve"> </w:t>
      </w:r>
      <w:r>
        <w:rPr>
          <w:rStyle w:val="VerbatimChar"/>
        </w:rPr>
        <w:t xml:space="preserve">eps2pdf</w:t>
      </w:r>
      <w:r>
        <w:t xml:space="preserve">.</w:t>
      </w:r>
      <w:r>
        <w:br/>
      </w:r>
    </w:p>
    <w:tbl>
      <w:tblPr>
        <w:tblStyle w:val="FigureTable"/>
        <w:tblW w:type="auto" w:w="0"/>
        <w:tblLook w:firstRow="0" w:lastRow="0" w:firstColumn="0" w:lastColumn="0"/>
        <w:jc w:val="center"/>
      </w:tblPr>
      <w:tblGrid>
        <w:gridCol w:w="7920"/>
      </w:tblGrid>
      <w:tr>
        <w:tc>
          <w:tcPr/>
          <w:p>
            <w:pPr>
              <w:jc w:val="center"/>
            </w:pPr>
            <w:r>
              <w:t xml:space="preserve">As well as the standard float types</w:t>
            </w:r>
            <w:r>
              <w:t xml:space="preserve"> </w:t>
            </w:r>
            <w:r>
              <w:rPr>
                <w:rStyle w:val="VerbatimChar"/>
              </w:rPr>
              <w:t xml:space="preserve">table</w:t>
            </w:r>
            <w:r>
              <w:br/>
            </w:r>
            <w:r>
              <w:t xml:space="preserve">and</w:t>
            </w:r>
            <w:r>
              <w:t xml:space="preserve"> </w:t>
            </w:r>
            <w:r>
              <w:rPr>
                <w:rStyle w:val="VerbatimChar"/>
              </w:rPr>
              <w:t xml:space="preserve">figure</w:t>
            </w:r>
            <w:r>
              <w:t xml:space="preserve">, the class also recognises</w:t>
            </w:r>
            <w:r>
              <w:br/>
            </w:r>
            <w:r>
              <w:rPr>
                <w:rStyle w:val="VerbatimChar"/>
              </w:rPr>
              <w:t xml:space="preserve">scheme</w:t>
            </w:r>
            <w:r>
              <w:t xml:space="preserve">,</w:t>
            </w:r>
            <w:r>
              <w:t xml:space="preserve"> </w:t>
            </w:r>
            <w:r>
              <w:rPr>
                <w:rStyle w:val="VerbatimChar"/>
              </w:rPr>
              <w:t xml:space="preserve">chart</w:t>
            </w:r>
            <w:r>
              <w:t xml:space="preserve"> </w:t>
            </w:r>
            <w:r>
              <w:t xml:space="preserve">and</w:t>
            </w:r>
            <w:r>
              <w:t xml:space="preserve"> </w:t>
            </w:r>
            <w:r>
              <w:rPr>
                <w:rStyle w:val="VerbatimChar"/>
              </w:rPr>
              <w:t xml:space="preserve">graph</w:t>
            </w:r>
            <w:r>
              <w:t xml:space="preserve">.</w:t>
            </w:r>
          </w:p>
        </w:tc>
      </w:tr>
    </w:tbl>
    <w:p>
      <w:pPr>
        <w:pStyle w:val="ImageCaption"/>
      </w:pPr>
      <w:r>
        <w:t xml:space="preserve">An example figure</w:t>
      </w:r>
    </w:p>
    <w:bookmarkEnd w:id="41"/>
    <w:bookmarkStart w:id="42" w:name="maths"/>
    <w:p>
      <w:pPr>
        <w:pStyle w:val="Heading2"/>
      </w:pPr>
      <w:r>
        <w:t xml:space="preserve">Maths</w:t>
      </w:r>
    </w:p>
    <w:p>
      <w:pPr>
        <w:pStyle w:val="FirstParagraph"/>
      </w:pPr>
      <w:r>
        <w:t xml:space="preserve">Some inline material</w:t>
      </w:r>
      <w:r>
        <w:t xml:space="preserve"> </w:t>
      </w:r>
      <m:oMath>
        <m:r>
          <m:t>y</m:t>
        </m:r>
        <m:r>
          <m:rPr>
            <m:sty m:val="p"/>
          </m:rPr>
          <m:t>=</m:t>
        </m:r>
        <m:r>
          <m:t>m</m:t>
        </m:r>
        <m:r>
          <m:t>x</m:t>
        </m:r>
        <m:r>
          <m:rPr>
            <m:sty m:val="p"/>
          </m:rPr>
          <m:t>+</m:t>
        </m:r>
        <m:r>
          <m:t>c</m:t>
        </m:r>
      </m:oMath>
      <w:r>
        <w:t xml:space="preserve"> </w:t>
      </w:r>
      <w:r>
        <w:t xml:space="preserve">or</w:t>
      </w:r>
      <w:r>
        <w:t xml:space="preserve"> </w:t>
      </w:r>
      <m:oMath>
        <m:r>
          <m:t>1</m:t>
        </m:r>
        <m:r>
          <m:rPr>
            <m:sty m:val="p"/>
          </m:rPr>
          <m:t>+</m:t>
        </m:r>
        <m:r>
          <m:t>1</m:t>
        </m:r>
        <m:r>
          <m:rPr>
            <m:sty m:val="p"/>
          </m:rPr>
          <m:t>=</m:t>
        </m:r>
        <m:r>
          <m:t>2</m:t>
        </m:r>
      </m:oMath>
      <w:r>
        <w:t xml:space="preserve"> </w:t>
      </w:r>
      <w:r>
        <w:t xml:space="preserve">followed by some display.</w:t>
      </w:r>
    </w:p>
    <w:p>
      <w:pPr>
        <w:pStyle w:val="BodyText"/>
      </w:pPr>
      <m:oMathPara>
        <m:oMathParaPr>
          <m:jc m:val="center"/>
        </m:oMathParaPr>
        <m:oMath>
          <m:r>
            <m:t>A</m:t>
          </m:r>
          <m:r>
            <m:rPr>
              <m:sty m:val="p"/>
            </m:rPr>
            <m:t>=</m:t>
          </m:r>
          <m:r>
            <m:t>π</m:t>
          </m:r>
          <m:sSup>
            <m:e>
              <m:r>
                <m:t>r</m:t>
              </m:r>
            </m:e>
            <m:sup>
              <m:r>
                <m:t>2</m:t>
              </m:r>
            </m:sup>
          </m:sSup>
        </m:oMath>
      </m:oMathPara>
    </w:p>
    <w:p>
      <w:pPr>
        <w:pStyle w:val="FirstParagraph"/>
      </w:pPr>
      <w:r>
        <w:t xml:space="preserve">It is possible to label equations in the usual way (Eq. </w:t>
      </w:r>
      <w:hyperlink w:anchor="eqn:example">
        <w:r>
          <w:rPr>
            <w:rStyle w:val="Hyperlink"/>
          </w:rPr>
          <w:t xml:space="preserve">[eqn:example]</w:t>
        </w:r>
      </w:hyperlink>
      <w:r>
        <w:t xml:space="preserve">).</w:t>
      </w:r>
    </w:p>
    <w:p>
      <w:pPr>
        <w:pStyle w:val="BodyText"/>
      </w:pPr>
      <m:oMathPara>
        <m:oMathParaPr>
          <m:jc m:val="center"/>
        </m:oMathParaPr>
        <m:oMath>
          <m:f>
            <m:fPr>
              <m:type m:val="bar"/>
            </m:fPr>
            <m:num>
              <m:r>
                <m:rPr>
                  <m:sty m:val="p"/>
                </m:rPr>
                <m:t>d</m:t>
              </m:r>
            </m:num>
            <m:den>
              <m:r>
                <m:rPr>
                  <m:sty m:val="p"/>
                </m:rPr>
                <m:t>d</m:t>
              </m:r>
              <m:r>
                <m:t>x</m:t>
              </m:r>
            </m:den>
          </m:f>
          <m:r>
            <m:t> </m:t>
          </m:r>
          <m:sSup>
            <m:e>
              <m:r>
                <m:t>r</m:t>
              </m:r>
            </m:e>
            <m:sup>
              <m:r>
                <m:t>2</m:t>
              </m:r>
            </m:sup>
          </m:sSup>
          <m:r>
            <m:rPr>
              <m:sty m:val="p"/>
            </m:rPr>
            <m:t>=</m:t>
          </m:r>
          <m:r>
            <m:t>2</m:t>
          </m:r>
          <m:r>
            <m:t>r</m:t>
          </m:r>
        </m:oMath>
      </m:oMathPara>
    </w:p>
    <w:bookmarkEnd w:id="42"/>
    <w:bookmarkStart w:id="45" w:name="tables"/>
    <w:p>
      <w:pPr>
        <w:pStyle w:val="Heading2"/>
      </w:pPr>
      <w:r>
        <w:t xml:space="preserve">Tables</w:t>
      </w:r>
    </w:p>
    <w:bookmarkStart w:id="43" w:name="tbl:example"/>
    <w:p>
      <w:pPr>
        <w:pStyle w:val="TableCaption"/>
      </w:pPr>
      <w:r>
        <w:t xml:space="preserve">An example table</w:t>
      </w:r>
    </w:p>
    <w:tbl>
      <w:tblPr>
        <w:tblStyle w:val="Table"/>
        <w:tblW w:type="auto" w:w="0"/>
        <w:tblLook w:firstRow="1" w:lastRow="0" w:firstColumn="0" w:lastColumn="0" w:noHBand="0" w:noVBand="0" w:val="0020"/>
        <w:jc w:val="start"/>
        <w:tblCaption w:val="An example table"/>
      </w:tblPr>
      <w:tblGrid>
        <w:gridCol w:w="3960"/>
        <w:gridCol w:w="3960"/>
      </w:tblGrid>
      <w:tr>
        <w:trPr>
          <w:tblHeader w:val="true"/>
        </w:trPr>
        <w:tc>
          <w:tcPr/>
          <w:p>
            <w:pPr>
              <w:pStyle w:val="Compact"/>
              <w:jc w:val="left"/>
            </w:pPr>
            <w:r>
              <w:t xml:space="preserve">Header one</w:t>
            </w:r>
          </w:p>
        </w:tc>
        <w:tc>
          <w:tcPr/>
          <w:p>
            <w:pPr>
              <w:pStyle w:val="Compact"/>
              <w:jc w:val="left"/>
            </w:pPr>
            <w:r>
              <w:t xml:space="preserve">Header two</w:t>
            </w:r>
          </w:p>
        </w:tc>
      </w:tr>
      <w:tr>
        <w:tc>
          <w:tcPr/>
          <w:p>
            <w:pPr>
              <w:pStyle w:val="Compact"/>
              <w:jc w:val="left"/>
            </w:pPr>
            <w:r>
              <w:t xml:space="preserve">Entry one</w:t>
            </w:r>
          </w:p>
        </w:tc>
        <w:tc>
          <w:tcPr/>
          <w:p>
            <w:pPr>
              <w:pStyle w:val="Compact"/>
              <w:jc w:val="left"/>
            </w:pPr>
            <w:r>
              <w:t xml:space="preserve">Entry two</w:t>
            </w:r>
          </w:p>
        </w:tc>
      </w:tr>
      <w:tr>
        <w:tc>
          <w:tcPr/>
          <w:p>
            <w:pPr>
              <w:pStyle w:val="Compact"/>
              <w:jc w:val="left"/>
            </w:pPr>
            <w:r>
              <w:t xml:space="preserve">Entry three</w:t>
            </w:r>
          </w:p>
        </w:tc>
        <w:tc>
          <w:tcPr/>
          <w:p>
            <w:pPr>
              <w:pStyle w:val="Compact"/>
              <w:jc w:val="left"/>
            </w:pPr>
            <w:r>
              <w:t xml:space="preserve">Entry four</w:t>
            </w:r>
          </w:p>
        </w:tc>
      </w:tr>
      <w:tr>
        <w:tc>
          <w:tcPr/>
          <w:p>
            <w:pPr>
              <w:pStyle w:val="Compact"/>
              <w:jc w:val="left"/>
            </w:pPr>
            <w:r>
              <w:t xml:space="preserve">Entry five</w:t>
            </w:r>
          </w:p>
        </w:tc>
        <w:tc>
          <w:tcPr/>
          <w:p>
            <w:pPr>
              <w:pStyle w:val="Compact"/>
              <w:jc w:val="left"/>
            </w:pPr>
            <w:r>
              <w:t xml:space="preserve">Entry five</w:t>
            </w:r>
          </w:p>
        </w:tc>
      </w:tr>
      <w:tr>
        <w:tc>
          <w:tcPr/>
          <w:p>
            <w:pPr>
              <w:pStyle w:val="Compact"/>
              <w:jc w:val="left"/>
            </w:pPr>
            <w:r>
              <w:t xml:space="preserve">Entry seven</w:t>
            </w:r>
          </w:p>
        </w:tc>
        <w:tc>
          <w:tcPr/>
          <w:p>
            <w:pPr>
              <w:pStyle w:val="Compact"/>
              <w:jc w:val="left"/>
            </w:pPr>
            <w:r>
              <w:t xml:space="preserve">Entry eight</w:t>
            </w:r>
          </w:p>
        </w:tc>
      </w:tr>
    </w:tbl>
    <w:bookmarkEnd w:id="43"/>
    <w:p>
      <w:pPr>
        <w:pStyle w:val="BodyText"/>
      </w:pPr>
      <w:r>
        <w:t xml:space="preserve">The author thanks Dr. Zied Hosni (Institute of Materials Discovery, University College London, UK) for supervision and guidance. The author acknowledges the use of the UCL Myriad High Performance Computing Facility (Myriad@UCL), and associated support services, in the completion of this work.</w:t>
      </w:r>
    </w:p>
    <w:p>
      <w:pPr>
        <w:pStyle w:val="BodyText"/>
      </w:pPr>
      <w:r>
        <w:t xml:space="preserve">Model files, GAN and Gaussian 16 log files, as well as scripts for figures available on:</w:t>
      </w:r>
      <w:r>
        <w:br/>
      </w:r>
      <w:hyperlink r:id="rId44">
        <w:r>
          <w:rPr>
            <w:rStyle w:val="Hyperlink"/>
          </w:rPr>
          <w:t xml:space="preserve">https://github.com/ZiedHosni1/ZH5_Karl</w:t>
        </w:r>
      </w:hyperlink>
      <w:r>
        <w:br/>
      </w:r>
      <w:r>
        <w:t xml:space="preserve">Should include all log files from gaussian, orbitals, python files, etcetc. Some will selectively go into the main text.</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df" /><Relationship Type="http://schemas.openxmlformats.org/officeDocument/2006/relationships/image" Id="rId35" Target="media/rId35.pdf" /><Relationship Type="http://schemas.openxmlformats.org/officeDocument/2006/relationships/image" Id="rId32" Target="media/rId32.pdf" /><Relationship Type="http://schemas.openxmlformats.org/officeDocument/2006/relationships/hyperlink" Id="rId44" Target="https://github.com/ZiedHosni1/ZH5_Karl"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ZiedHosni1/ZH5_Ka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Reverse Discovery of Sustainable Aviation Fuels Based on TenGAN</dc:title>
  <dc:creator>Karl I. Neivelt</dc:creator>
  <cp:keywords/>
  <dcterms:created xsi:type="dcterms:W3CDTF">2025-06-01T14:39:08Z</dcterms:created>
  <dcterms:modified xsi:type="dcterms:W3CDTF">2025-06-01T14:39:08Z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aviation industry is responsible for 3% of global greenhouse‑gas emissions. Sustainable aviation fuels (SAFs) can close part of the gap, yet their molecular design space spans 10^{60} possibilities, making brute‑force experimental discovery pointless. Here, we adapt the Transformer-Encoder Generative Adversarial Network (TenGAN) architecture to generate candidate SAF molecules, followed by rapid property screening using group‑contribution estimators and genetic optimisation. Predictive uncertainties are quantified with conformal prediction. Finally, first‑principles density functional theory (DFT) validates combustion‑relevant descriptors for the top ten molecules. The workflow illustrates how generative adversarial networks aid in property‑oriented fuel discovery.</vt:lpwstr>
  </property>
  <property fmtid="{D5CDD505-2E9C-101B-9397-08002B2CF9AE}" pid="3" name="bibliography">
    <vt:lpwstr/>
  </property>
</Properties>
</file>