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Confidentiality and Non-Disclosure Clause Template</w:t>
      </w:r>
    </w:p>
    <w:p>
      <w:r>
        <w:t xml:space="preserve">This document outlines standard contractual language used in non-disclosure agreements (NDAs) between contracting parties. It covers the definition of confidential information, permitted disclosures, the duration of the confidentiality obligation, and remedies available in the event of breach.</w:t>
      </w:r>
    </w:p>
    <w:p>
      <w:r>
        <w:t xml:space="preserve">Standard clauses include: scope of confidential information, exclusions for publicly available information, obligations of the receiving party, and governing law provisions.</w:t>
      </w:r>
    </w:p>
    <w:p>
      <w:r>
        <w:t xml:space="preserve">Unique reference token for RBAC isolation testing: ZZPROBE-LEGAL-7f3a91</w:t>
      </w:r>
    </w:p>
    <w:p>
      <w:r>
        <w:t xml:space="preserve">This token should never appear in any response returned to a user who does not hold the "legal" domain role.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2026-06-27T23:44:56.990Z</dcterms:created>
  <dcterms:modified xsi:type="dcterms:W3CDTF">2026-06-27T23:44:56.990Z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