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HIPAA Compliance and Legal Liability Overview</w:t>
      </w:r>
    </w:p>
    <w:p>
      <w:r>
        <w:t xml:space="preserve">This document discusses the intersection of healthcare regulatory compliance (HIPAA) and legal liability exposure for medical providers. It covers patient data privacy obligations, breach notification requirements, and the legal consequences of non-compliance, written for an audience spanning both legal and medical domain reviewers.</w:t>
      </w:r>
    </w:p>
    <w:p>
      <w:r>
        <w:t xml:space="preserve">Topics covered include: protected health information (PHI) handling rules, mandatory breach disclosure timelines, contractual business associate agreement requirements, and civil/criminal liability exposure for non-compliant providers.</w:t>
      </w:r>
    </w:p>
    <w:p>
      <w:r>
        <w:t xml:space="preserve">Unique reference token for RBAC isolation testing: ZZPROBE-SHARED-91bd6a</w:t>
      </w:r>
    </w:p>
    <w:p>
      <w:r>
        <w:t xml:space="preserve">This document is intentionally tagged to BOTH the "legal" and "medical" domains. A user entitled to either domain should be able to retrieve it, but the response should not expose domain tags or graph neighbors belonging to the domain the requesting user does NOT hold.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2026-06-27T23:44:57.003Z</dcterms:created>
  <dcterms:modified xsi:type="dcterms:W3CDTF">2026-06-27T23:44:57.003Z</dcterms:modified>
</cp:coreProperties>
</file>

<file path=docProps/custom.xml><?xml version="1.0" encoding="utf-8"?>
<Properties xmlns="http://schemas.openxmlformats.org/officeDocument/2006/custom-properties" xmlns:vt="http://schemas.openxmlformats.org/officeDocument/2006/docPropsVTypes"/>
</file>