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Patient Intake Protocol Overview</w:t>
      </w:r>
    </w:p>
    <w:p>
      <w:r>
        <w:t xml:space="preserve">This document describes the standard intake protocol used when a new patient is admitted for evaluation. It covers initial vitals capture, medical history review, allergy screening, and the criteria used to triage patients by urgency level.</w:t>
      </w:r>
    </w:p>
    <w:p>
      <w:r>
        <w:t xml:space="preserve">Topics covered include: vital signs baseline ranges, standardized allergy questionnaire structure, medication reconciliation steps, and escalation criteria for urgent versus routine cases.</w:t>
      </w:r>
    </w:p>
    <w:p>
      <w:r>
        <w:t xml:space="preserve">Unique reference token for RBAC isolation testing: ZZPROBE-MEDICAL-c4e02d</w:t>
      </w:r>
    </w:p>
    <w:p>
      <w:r>
        <w:t xml:space="preserve">This token should never appear in any response returned to a user who does not hold the "medical" domain 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2026-06-27T23:44:57.000Z</dcterms:created>
  <dcterms:modified xsi:type="dcterms:W3CDTF">2026-06-27T23:44:57.000Z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