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4"/>
        </w:rPr>
        <w:t>BP-Malaysia ERP Understanding Note</w:t>
        <w:br/>
      </w:r>
      <w:r>
        <w:rPr>
          <w:color w:val="555555"/>
          <w:sz w:val="26"/>
        </w:rPr>
        <w:t>Based on Site Visit, Shared Documents, and BP-Malaysia Queries</w:t>
      </w:r>
    </w:p>
    <w:tbl>
      <w:tblPr>
        <w:tblW w:type="auto" w:w="0"/>
        <w:jc w:val="center"/>
        <w:tblLook w:firstColumn="1" w:firstRow="1" w:lastColumn="0" w:lastRow="0" w:noHBand="0" w:noVBand="1" w:val="04A0"/>
        <w:tblBorders>
          <w:top w:val="single" w:sz="8" w:space="0" w:color="D9EAF7"/>
          <w:left w:val="single" w:sz="8" w:space="0" w:color="D9EAF7"/>
          <w:bottom w:val="single" w:sz="8" w:space="0" w:color="D9EAF7"/>
          <w:right w:val="single" w:sz="8" w:space="0" w:color="D9EAF7"/>
          <w:insideH w:val="single" w:sz="8" w:space="0" w:color="D9EAF7"/>
          <w:insideV w:val="single" w:sz="8" w:space="0" w:color="D9EAF7"/>
        </w:tblBorders>
      </w:tblPr>
      <w:tblGrid>
        <w:gridCol w:w="5184"/>
        <w:gridCol w:w="5184"/>
      </w:tblGrid>
      <w:tr>
        <w:tc>
          <w:tcPr>
            <w:tcW w:type="dxa" w:w="2592"/>
            <w:shd w:fill="D9EAF7"/>
          </w:tcPr>
          <w:p>
            <w:pPr>
              <w:spacing w:after="0"/>
            </w:pPr>
            <w:r/>
            <w:r>
              <w:rPr>
                <w:b/>
                <w:color w:val="1F4E79"/>
                <w:sz w:val="20"/>
              </w:rPr>
              <w:t>Document Type</w:t>
            </w:r>
          </w:p>
        </w:tc>
        <w:tc>
          <w:tcPr>
            <w:tcW w:type="dxa" w:w="6912"/>
          </w:tcPr>
          <w:p>
            <w:pPr>
              <w:spacing w:after="0"/>
            </w:pPr>
            <w:r/>
            <w:r>
              <w:rPr>
                <w:b w:val="0"/>
                <w:sz w:val="20"/>
              </w:rPr>
              <w:t>Business Understanding Note</w:t>
            </w:r>
          </w:p>
        </w:tc>
      </w:tr>
      <w:tr>
        <w:tc>
          <w:tcPr>
            <w:tcW w:type="dxa" w:w="2592"/>
            <w:shd w:fill="D9EAF7"/>
          </w:tcPr>
          <w:p>
            <w:pPr>
              <w:spacing w:after="0"/>
            </w:pPr>
            <w:r/>
            <w:r>
              <w:rPr>
                <w:b/>
                <w:color w:val="1F4E79"/>
                <w:sz w:val="20"/>
              </w:rPr>
              <w:t>Prepared For</w:t>
            </w:r>
          </w:p>
        </w:tc>
        <w:tc>
          <w:tcPr>
            <w:tcW w:type="dxa" w:w="6912"/>
          </w:tcPr>
          <w:p>
            <w:pPr>
              <w:spacing w:after="0"/>
            </w:pPr>
            <w:r/>
            <w:r>
              <w:rPr>
                <w:b w:val="0"/>
                <w:sz w:val="20"/>
              </w:rPr>
              <w:t>BP-Malaysia</w:t>
            </w:r>
          </w:p>
        </w:tc>
      </w:tr>
      <w:tr>
        <w:tc>
          <w:tcPr>
            <w:tcW w:type="dxa" w:w="2592"/>
            <w:shd w:fill="D9EAF7"/>
          </w:tcPr>
          <w:p>
            <w:pPr>
              <w:spacing w:after="0"/>
            </w:pPr>
            <w:r/>
            <w:r>
              <w:rPr>
                <w:b/>
                <w:color w:val="1F4E79"/>
                <w:sz w:val="20"/>
              </w:rPr>
              <w:t>Purpose</w:t>
            </w:r>
          </w:p>
        </w:tc>
        <w:tc>
          <w:tcPr>
            <w:tcW w:type="dxa" w:w="6912"/>
          </w:tcPr>
          <w:p>
            <w:pPr>
              <w:spacing w:after="0"/>
            </w:pPr>
            <w:r/>
            <w:r>
              <w:rPr>
                <w:b w:val="0"/>
                <w:sz w:val="20"/>
              </w:rPr>
              <w:t>Confirm business understanding and respond to BP-Malaysia questions</w:t>
            </w:r>
          </w:p>
        </w:tc>
      </w:tr>
      <w:tr>
        <w:tc>
          <w:tcPr>
            <w:tcW w:type="dxa" w:w="2592"/>
            <w:shd w:fill="D9EAF7"/>
          </w:tcPr>
          <w:p>
            <w:pPr>
              <w:spacing w:after="0"/>
            </w:pPr>
            <w:r/>
            <w:r>
              <w:rPr>
                <w:b/>
                <w:color w:val="1F4E79"/>
                <w:sz w:val="20"/>
              </w:rPr>
              <w:t>Next Step</w:t>
            </w:r>
          </w:p>
        </w:tc>
        <w:tc>
          <w:tcPr>
            <w:tcW w:type="dxa" w:w="6912"/>
          </w:tcPr>
          <w:p>
            <w:pPr>
              <w:spacing w:after="0"/>
            </w:pPr>
            <w:r/>
            <w:r>
              <w:rPr>
                <w:b w:val="0"/>
                <w:sz w:val="20"/>
              </w:rPr>
              <w:t>Detailed FRD after confirmation from BP-Malaysia</w:t>
            </w:r>
          </w:p>
        </w:tc>
      </w:tr>
    </w:tbl>
    <w:p/>
    <w:p>
      <w:pPr>
        <w:jc w:val="center"/>
      </w:pPr>
      <w:r>
        <w:rPr>
          <w:i/>
          <w:color w:val="666666"/>
          <w:sz w:val="18"/>
        </w:rPr>
        <w:t>Note: This is not the detailed FRD. The detailed FRD will be prepared as the next step after confirmation of this understanding.</w:t>
      </w:r>
    </w:p>
    <w:p>
      <w:r>
        <w:br w:type="page"/>
      </w:r>
    </w:p>
    <w:p>
      <w:pPr>
        <w:pStyle w:val="Heading1"/>
      </w:pPr>
      <w:r>
        <w:rPr>
          <w:color w:val="1F4E79"/>
        </w:rPr>
        <w:t>1. Purpose of This Note</w:t>
      </w:r>
    </w:p>
    <w:p>
      <w:r>
        <w:t>Based on our site visit, discussions with the BP-Malaysia team, and the sample documents shared, this note has been prepared to confirm the business flow, system expectations, and key clarifications before moving to the next stage.</w:t>
      </w:r>
    </w:p>
    <w:p>
      <w:r>
        <w:t>This note is not a detailed FRD. The detailed FRD, screen-wise field mapping, workflow status, approval matrix, report formats, and integration design will be prepared as the next step after BP-Malaysia confirms this understanding.</w:t>
      </w:r>
    </w:p>
    <w:p>
      <w:pPr>
        <w:pStyle w:val="Heading1"/>
      </w:pPr>
      <w:r>
        <w:rPr>
          <w:color w:val="1F4E79"/>
        </w:rPr>
        <w:t>2. Overall Business Understanding</w:t>
      </w:r>
    </w:p>
    <w:p>
      <w:r>
        <w:t>From the site visit and documents shared by BP-Malaysia, we understand that the business process is not limited to a standard procurement and stock flow. The process includes material purchase, waste collection, logistics planning, weighment, GRN, stock update, customer billing, supplier billing, landfill disposal billing, service billing, and payment tracking.</w:t>
      </w:r>
    </w:p>
    <w:p>
      <w:r>
        <w:t>The ERP should support different types of business transactions, including:</w:t>
      </w:r>
    </w:p>
    <w:p>
      <w:pPr>
        <w:pStyle w:val="ListBullet"/>
      </w:pPr>
      <w:r>
        <w:t>Stock material purchase</w:t>
      </w:r>
    </w:p>
    <w:p>
      <w:pPr>
        <w:pStyle w:val="ListBullet"/>
      </w:pPr>
      <w:r>
        <w:t>Non-stock purchase</w:t>
      </w:r>
    </w:p>
    <w:p>
      <w:pPr>
        <w:pStyle w:val="ListBullet"/>
      </w:pPr>
      <w:r>
        <w:t>Scheduled waste disposal billing</w:t>
      </w:r>
    </w:p>
    <w:p>
      <w:pPr>
        <w:pStyle w:val="ListBullet"/>
      </w:pPr>
      <w:r>
        <w:t>General waste billing</w:t>
      </w:r>
    </w:p>
    <w:p>
      <w:pPr>
        <w:pStyle w:val="ListBullet"/>
      </w:pPr>
      <w:r>
        <w:t>Transport and labour/service billing</w:t>
      </w:r>
    </w:p>
    <w:p>
      <w:pPr>
        <w:pStyle w:val="ListBullet"/>
      </w:pPr>
      <w:r>
        <w:t>Landfill disposal expense tracking</w:t>
      </w:r>
    </w:p>
    <w:p>
      <w:pPr>
        <w:pStyle w:val="ListBullet"/>
      </w:pPr>
      <w:r>
        <w:t>Direct shipment from supplier/source to customer</w:t>
      </w:r>
    </w:p>
    <w:p>
      <w:pPr>
        <w:pStyle w:val="ListBullet"/>
      </w:pPr>
      <w:r>
        <w:t>Monthly contract or summary billing</w:t>
      </w:r>
    </w:p>
    <w:p>
      <w:pPr>
        <w:pStyle w:val="ListBullet"/>
      </w:pPr>
      <w:r>
        <w:t>Material sorting and stock recovery from collected waste</w:t>
      </w:r>
    </w:p>
    <w:p>
      <w:pPr>
        <w:pStyle w:val="ListBullet"/>
      </w:pPr>
      <w:r>
        <w:t>Integration or data mapping with the existing SQL accounting system</w:t>
      </w:r>
    </w:p>
    <w:p>
      <w:r>
        <w:t>The operation requires a flexible ERP workflow where each transaction can be tracked from source document to final payment.</w:t>
      </w:r>
    </w:p>
    <w:p>
      <w:pPr>
        <w:pStyle w:val="Heading1"/>
      </w:pPr>
      <w:r>
        <w:rPr>
          <w:color w:val="1F4E79"/>
        </w:rPr>
        <w:t>3. Documents Reviewed</w:t>
      </w:r>
    </w:p>
    <w:p>
      <w:r>
        <w:t>The following document types were reviewed and considered for this understanding:</w:t>
      </w:r>
    </w:p>
    <w:p>
      <w:pPr>
        <w:pStyle w:val="ListBullet"/>
      </w:pPr>
      <w:r>
        <w:t>Material master sample</w:t>
      </w:r>
    </w:p>
    <w:p>
      <w:pPr>
        <w:pStyle w:val="ListBullet"/>
      </w:pPr>
      <w:r>
        <w:t>Supplier master sample</w:t>
      </w:r>
    </w:p>
    <w:p>
      <w:pPr>
        <w:pStyle w:val="ListBullet"/>
      </w:pPr>
      <w:r>
        <w:t>Customer master sample</w:t>
      </w:r>
    </w:p>
    <w:p>
      <w:pPr>
        <w:pStyle w:val="ListBullet"/>
      </w:pPr>
      <w:r>
        <w:t>Store location master</w:t>
      </w:r>
    </w:p>
    <w:p>
      <w:pPr>
        <w:pStyle w:val="ListBullet"/>
      </w:pPr>
      <w:r>
        <w:t>Vehicle master</w:t>
      </w:r>
    </w:p>
    <w:p>
      <w:pPr>
        <w:pStyle w:val="ListBullet"/>
      </w:pPr>
      <w:r>
        <w:t>Driver master</w:t>
      </w:r>
    </w:p>
    <w:p>
      <w:pPr>
        <w:pStyle w:val="ListBullet"/>
      </w:pPr>
      <w:r>
        <w:t>Purchase transaction samples</w:t>
      </w:r>
    </w:p>
    <w:p>
      <w:pPr>
        <w:pStyle w:val="ListBullet"/>
      </w:pPr>
      <w:r>
        <w:t>Invoice records</w:t>
      </w:r>
    </w:p>
    <w:p>
      <w:pPr>
        <w:pStyle w:val="ListBullet"/>
      </w:pPr>
      <w:r>
        <w:t>Logistics planning records</w:t>
      </w:r>
    </w:p>
    <w:p>
      <w:pPr>
        <w:pStyle w:val="ListBullet"/>
      </w:pPr>
      <w:r>
        <w:t>Stock records</w:t>
      </w:r>
    </w:p>
    <w:p>
      <w:pPr>
        <w:pStyle w:val="ListBullet"/>
      </w:pPr>
      <w:r>
        <w:t>Sales invoice samples</w:t>
      </w:r>
    </w:p>
    <w:p>
      <w:pPr>
        <w:pStyle w:val="ListBullet"/>
      </w:pPr>
      <w:r>
        <w:t>Disposal charge invoice and landfill summary</w:t>
      </w:r>
    </w:p>
    <w:p>
      <w:pPr>
        <w:pStyle w:val="ListBullet"/>
      </w:pPr>
      <w:r>
        <w:t>PR, PO, and supplier invoice for non-stock purchase</w:t>
      </w:r>
    </w:p>
    <w:p>
      <w:pPr>
        <w:pStyle w:val="ListBullet"/>
      </w:pPr>
      <w:r>
        <w:t>GRN and weight note samples</w:t>
      </w:r>
    </w:p>
    <w:p>
      <w:pPr>
        <w:pStyle w:val="ListBullet"/>
      </w:pPr>
      <w:r>
        <w:t>BP-Malaysia clarification/questions document</w:t>
      </w:r>
    </w:p>
    <w:p>
      <w:r>
        <w:t>These documents helped us understand the current manual process, document flow, transaction types, and expected ERP coverage.</w:t>
      </w:r>
    </w:p>
    <w:p>
      <w:pPr>
        <w:pStyle w:val="Heading1"/>
      </w:pPr>
      <w:r>
        <w:rPr>
          <w:color w:val="1F4E79"/>
        </w:rPr>
        <w:t>4. High-Level Process Understanding</w:t>
      </w:r>
    </w:p>
    <w:p>
      <w:pPr>
        <w:spacing w:after="40"/>
        <w:ind w:left="403" w:hanging="403"/>
      </w:pPr>
      <w:r>
        <w:t>1.</w:t>
        <w:tab/>
        <w:t>Master data is maintained for materials, suppliers, customers, stores, vehicles, drivers, and companies.</w:t>
      </w:r>
    </w:p>
    <w:p>
      <w:pPr>
        <w:spacing w:after="40"/>
        <w:ind w:left="403" w:hanging="403"/>
      </w:pPr>
      <w:r>
        <w:t>2.</w:t>
        <w:tab/>
        <w:t>Depending on the transaction type, the process may start from PR/PO, agreement, contract, customer request, or logistics plan.</w:t>
      </w:r>
    </w:p>
    <w:p>
      <w:pPr>
        <w:spacing w:after="40"/>
        <w:ind w:left="403" w:hanging="403"/>
      </w:pPr>
      <w:r>
        <w:t>3.</w:t>
        <w:tab/>
        <w:t>Material movement is planned through the logistics team.</w:t>
      </w:r>
    </w:p>
    <w:p>
      <w:pPr>
        <w:spacing w:after="40"/>
        <w:ind w:left="403" w:hanging="403"/>
      </w:pPr>
      <w:r>
        <w:t>4.</w:t>
        <w:tab/>
        <w:t>Vehicle and driver assignment may be required depending on whether the movement is handled by own vehicle or third-party transporter.</w:t>
      </w:r>
    </w:p>
    <w:p>
      <w:pPr>
        <w:spacing w:after="40"/>
        <w:ind w:left="403" w:hanging="403"/>
      </w:pPr>
      <w:r>
        <w:t>5.</w:t>
        <w:tab/>
        <w:t>During collection or receipt, supporting documents such as DO, gate pass, consignment note, weight note, photos, or other proofs are captured.</w:t>
      </w:r>
    </w:p>
    <w:p>
      <w:pPr>
        <w:spacing w:after="40"/>
        <w:ind w:left="403" w:hanging="403"/>
      </w:pPr>
      <w:r>
        <w:t>6.</w:t>
        <w:tab/>
        <w:t>If the material is stock-related, GRN is created and stock is updated.</w:t>
      </w:r>
    </w:p>
    <w:p>
      <w:pPr>
        <w:spacing w:after="40"/>
        <w:ind w:left="403" w:hanging="403"/>
      </w:pPr>
      <w:r>
        <w:t>7.</w:t>
        <w:tab/>
        <w:t>If the transaction is billing-related, customer invoice or supplier invoice is generated or recorded.</w:t>
      </w:r>
    </w:p>
    <w:p>
      <w:pPr>
        <w:spacing w:after="40"/>
        <w:ind w:left="403" w:hanging="403"/>
      </w:pPr>
      <w:r>
        <w:t>8.</w:t>
        <w:tab/>
        <w:t>If the transaction is landfill-related, disposal records and landfill vendor invoices are tracked.</w:t>
      </w:r>
    </w:p>
    <w:p>
      <w:pPr>
        <w:spacing w:after="40"/>
        <w:ind w:left="403" w:hanging="403"/>
      </w:pPr>
      <w:r>
        <w:t>9.</w:t>
        <w:tab/>
        <w:t>Payment made and payment received should be tracked against the respective invoices.</w:t>
      </w:r>
    </w:p>
    <w:p>
      <w:pPr>
        <w:spacing w:after="40"/>
        <w:ind w:left="403" w:hanging="403"/>
      </w:pPr>
      <w:r>
        <w:t>10.</w:t>
        <w:tab/>
        <w:t>Final reports should provide traceability from transaction creation to logistics, stock, invoice, and payment closure.</w:t>
      </w:r>
    </w:p>
    <w:tbl>
      <w:tblPr>
        <w:tblW w:type="auto" w:w="0"/>
        <w:jc w:val="center"/>
        <w:tblLook w:firstColumn="1" w:firstRow="1" w:lastColumn="0" w:lastRow="0" w:noHBand="0" w:noVBand="1" w:val="04A0"/>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10368"/>
      </w:tblGrid>
      <w:tr>
        <w:trPr>
          <w:cantSplit/>
        </w:trPr>
        <w:tc>
          <w:tcPr>
            <w:tcW w:type="dxa" w:w="10368"/>
            <w:shd w:fill="EAF4FB"/>
            <w:vAlign w:val="center"/>
          </w:tcPr>
          <w:p>
            <w:pPr>
              <w:spacing w:after="0"/>
              <w:jc w:val="center"/>
            </w:pPr>
            <w:r>
              <w:rPr>
                <w:b/>
                <w:sz w:val="18"/>
              </w:rPr>
              <w:t>Master Data</w:t>
            </w:r>
            <w:r>
              <w:br/>
            </w:r>
            <w:r>
              <w:rPr>
                <w:sz w:val="18"/>
              </w:rPr>
              <w:t>Agreement / PR / PO / Request</w:t>
            </w:r>
            <w:r>
              <w:br/>
            </w:r>
            <w:r>
              <w:rPr>
                <w:b/>
                <w:sz w:val="18"/>
              </w:rPr>
              <w:t>Logistics Planning</w:t>
            </w:r>
            <w:r>
              <w:br/>
            </w:r>
            <w:r>
              <w:rPr>
                <w:sz w:val="18"/>
              </w:rPr>
              <w:t>Collection / Receipt</w:t>
            </w:r>
            <w:r>
              <w:br/>
            </w:r>
            <w:r>
              <w:rPr>
                <w:b/>
                <w:sz w:val="18"/>
              </w:rPr>
              <w:t>Supporting Documents</w:t>
            </w:r>
            <w:r>
              <w:br/>
            </w:r>
            <w:r>
              <w:rPr>
                <w:sz w:val="18"/>
              </w:rPr>
              <w:t>GRN / Stock Update or Billing</w:t>
            </w:r>
            <w:r>
              <w:br/>
            </w:r>
            <w:r>
              <w:rPr>
                <w:b/>
                <w:sz w:val="18"/>
              </w:rPr>
              <w:t>Payment Tracking</w:t>
            </w:r>
            <w:r>
              <w:br/>
            </w:r>
            <w:r>
              <w:rPr>
                <w:sz w:val="18"/>
              </w:rPr>
              <w:t>Reports and Audit Traceability</w:t>
            </w:r>
          </w:p>
        </w:tc>
      </w:tr>
    </w:tbl>
    <w:p/>
    <w:p>
      <w:pPr>
        <w:pStyle w:val="Heading1"/>
      </w:pPr>
      <w:r>
        <w:rPr>
          <w:color w:val="1F4E79"/>
        </w:rPr>
        <w:t>5. Understanding by Transaction Type</w:t>
      </w:r>
    </w:p>
    <w:p>
      <w:pPr>
        <w:pStyle w:val="Heading2"/>
      </w:pPr>
      <w:r>
        <w:rPr>
          <w:color w:val="1F4E79"/>
        </w:rPr>
        <w:t>5.1 Stock Purchase Flow</w:t>
      </w:r>
    </w:p>
    <w:p>
      <w:r>
        <w:t>This applies to materials that are received into stock.</w:t>
      </w:r>
    </w:p>
    <w:tbl>
      <w:tblPr>
        <w:tblW w:type="auto" w:w="0"/>
        <w:jc w:val="center"/>
        <w:tblLook w:firstColumn="1" w:firstRow="1" w:lastColumn="0" w:lastRow="0" w:noHBand="0" w:noVBand="1" w:val="04A0"/>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10368"/>
      </w:tblGrid>
      <w:tr>
        <w:trPr>
          <w:cantSplit/>
        </w:trPr>
        <w:tc>
          <w:tcPr>
            <w:tcW w:type="dxa" w:w="10368"/>
            <w:shd w:fill="EAF4FB"/>
            <w:vAlign w:val="center"/>
          </w:tcPr>
          <w:p>
            <w:pPr>
              <w:spacing w:after="0"/>
              <w:jc w:val="center"/>
            </w:pPr>
            <w:r>
              <w:rPr>
                <w:b/>
                <w:sz w:val="18"/>
              </w:rPr>
              <w:t>Agreement / PO</w:t>
            </w:r>
            <w:r>
              <w:br/>
            </w:r>
            <w:r>
              <w:rPr>
                <w:sz w:val="18"/>
              </w:rPr>
              <w:t>Supplier Invoice</w:t>
            </w:r>
            <w:r>
              <w:br/>
            </w:r>
            <w:r>
              <w:rPr>
                <w:b/>
                <w:sz w:val="18"/>
              </w:rPr>
              <w:t>Logistics / Collection</w:t>
            </w:r>
            <w:r>
              <w:br/>
            </w:r>
            <w:r>
              <w:rPr>
                <w:sz w:val="18"/>
              </w:rPr>
              <w:t>Supporting Documents</w:t>
            </w:r>
            <w:r>
              <w:br/>
            </w:r>
            <w:r>
              <w:rPr>
                <w:b/>
                <w:sz w:val="18"/>
              </w:rPr>
              <w:t>Weighment / Weight Note</w:t>
            </w:r>
            <w:r>
              <w:br/>
            </w:r>
            <w:r>
              <w:rPr>
                <w:sz w:val="18"/>
              </w:rPr>
              <w:t>GRN</w:t>
            </w:r>
            <w:r>
              <w:br/>
            </w:r>
            <w:r>
              <w:rPr>
                <w:b/>
                <w:sz w:val="18"/>
              </w:rPr>
              <w:t>Stock Update</w:t>
            </w:r>
            <w:r>
              <w:br/>
            </w:r>
            <w:r>
              <w:rPr>
                <w:sz w:val="18"/>
              </w:rPr>
              <w:t>Supplier Payment Tracking</w:t>
            </w:r>
          </w:p>
        </w:tc>
      </w:tr>
    </w:tbl>
    <w:p/>
    <w:p>
      <w:pPr>
        <w:spacing w:before="60" w:after="120"/>
        <w:ind w:left="216" w:right="216"/>
      </w:pPr>
      <w:r>
        <w:rPr>
          <w:i/>
          <w:color w:val="666666"/>
          <w:sz w:val="18"/>
        </w:rPr>
        <w:t>ERP understanding: Observed in scheduled waste / stock material purchase where supplier invoice, weight note, consignment note, and GRN are involved.</w:t>
      </w:r>
    </w:p>
    <w:p>
      <w:pPr>
        <w:pStyle w:val="Heading2"/>
      </w:pPr>
      <w:r>
        <w:rPr>
          <w:color w:val="1F4E79"/>
        </w:rPr>
        <w:t>5.2 Non-Stock Purchase Flow</w:t>
      </w:r>
    </w:p>
    <w:p>
      <w:r>
        <w:t>This applies to consumables, safety items, services, or purchases that do not update inventory stock.</w:t>
      </w:r>
    </w:p>
    <w:tbl>
      <w:tblPr>
        <w:tblW w:type="auto" w:w="0"/>
        <w:jc w:val="center"/>
        <w:tblLook w:firstColumn="1" w:firstRow="1" w:lastColumn="0" w:lastRow="0" w:noHBand="0" w:noVBand="1" w:val="04A0"/>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10368"/>
      </w:tblGrid>
      <w:tr>
        <w:trPr>
          <w:cantSplit/>
        </w:trPr>
        <w:tc>
          <w:tcPr>
            <w:tcW w:type="dxa" w:w="10368"/>
            <w:shd w:fill="EAF4FB"/>
            <w:vAlign w:val="center"/>
          </w:tcPr>
          <w:p>
            <w:pPr>
              <w:spacing w:after="0"/>
              <w:jc w:val="center"/>
            </w:pPr>
            <w:r>
              <w:rPr>
                <w:b/>
                <w:sz w:val="18"/>
              </w:rPr>
              <w:t>PR</w:t>
            </w:r>
            <w:r>
              <w:br/>
            </w:r>
            <w:r>
              <w:rPr>
                <w:sz w:val="18"/>
              </w:rPr>
              <w:t>PR Approval</w:t>
            </w:r>
            <w:r>
              <w:br/>
            </w:r>
            <w:r>
              <w:rPr>
                <w:b/>
                <w:sz w:val="18"/>
              </w:rPr>
              <w:t>PO</w:t>
            </w:r>
            <w:r>
              <w:br/>
            </w:r>
            <w:r>
              <w:rPr>
                <w:sz w:val="18"/>
              </w:rPr>
              <w:t>PO Approval</w:t>
            </w:r>
            <w:r>
              <w:br/>
            </w:r>
            <w:r>
              <w:rPr>
                <w:b/>
                <w:sz w:val="18"/>
              </w:rPr>
              <w:t>Supplier Invoice</w:t>
            </w:r>
            <w:r>
              <w:br/>
            </w:r>
            <w:r>
              <w:rPr>
                <w:sz w:val="18"/>
              </w:rPr>
              <w:t>Payment Tracking</w:t>
            </w:r>
          </w:p>
        </w:tc>
      </w:tr>
    </w:tbl>
    <w:p/>
    <w:p>
      <w:pPr>
        <w:spacing w:before="60" w:after="120"/>
        <w:ind w:left="216" w:right="216"/>
      </w:pPr>
      <w:r>
        <w:rPr>
          <w:i/>
          <w:color w:val="666666"/>
          <w:sz w:val="18"/>
        </w:rPr>
        <w:t>ERP understanding: Observed in safety shoe purchase with PR, PO, and supplier invoice.</w:t>
      </w:r>
    </w:p>
    <w:p>
      <w:pPr>
        <w:pStyle w:val="Heading2"/>
      </w:pPr>
      <w:r>
        <w:rPr>
          <w:color w:val="1F4E79"/>
        </w:rPr>
        <w:t>5.3 Scheduled Waste Billing Flow</w:t>
      </w:r>
    </w:p>
    <w:p>
      <w:r>
        <w:t>This applies when BP-Malaysia charges the customer for scheduled waste handling or disposal.</w:t>
      </w:r>
    </w:p>
    <w:tbl>
      <w:tblPr>
        <w:tblW w:type="auto" w:w="0"/>
        <w:jc w:val="center"/>
        <w:tblLook w:firstColumn="1" w:firstRow="1" w:lastColumn="0" w:lastRow="0" w:noHBand="0" w:noVBand="1" w:val="04A0"/>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10368"/>
      </w:tblGrid>
      <w:tr>
        <w:trPr>
          <w:cantSplit/>
        </w:trPr>
        <w:tc>
          <w:tcPr>
            <w:tcW w:type="dxa" w:w="10368"/>
            <w:shd w:fill="EAF4FB"/>
            <w:vAlign w:val="center"/>
          </w:tcPr>
          <w:p>
            <w:pPr>
              <w:spacing w:after="0"/>
              <w:jc w:val="center"/>
            </w:pPr>
            <w:r>
              <w:rPr>
                <w:b/>
                <w:sz w:val="18"/>
              </w:rPr>
              <w:t>Customer Waste Collection</w:t>
            </w:r>
            <w:r>
              <w:br/>
            </w:r>
            <w:r>
              <w:rPr>
                <w:sz w:val="18"/>
              </w:rPr>
              <w:t>Scheduled Waste Item Selection</w:t>
            </w:r>
            <w:r>
              <w:br/>
            </w:r>
            <w:r>
              <w:rPr>
                <w:b/>
                <w:sz w:val="18"/>
              </w:rPr>
              <w:t>Supporting Documents</w:t>
            </w:r>
            <w:r>
              <w:br/>
            </w:r>
            <w:r>
              <w:rPr>
                <w:sz w:val="18"/>
              </w:rPr>
              <w:t>Customer Invoice</w:t>
            </w:r>
            <w:r>
              <w:br/>
            </w:r>
            <w:r>
              <w:rPr>
                <w:b/>
                <w:sz w:val="18"/>
              </w:rPr>
              <w:t>Payment Tracking</w:t>
            </w:r>
          </w:p>
        </w:tc>
      </w:tr>
    </w:tbl>
    <w:p/>
    <w:p>
      <w:pPr>
        <w:spacing w:before="60" w:after="120"/>
        <w:ind w:left="216" w:right="216"/>
      </w:pPr>
      <w:r>
        <w:rPr>
          <w:i/>
          <w:color w:val="666666"/>
          <w:sz w:val="18"/>
        </w:rPr>
        <w:t>ERP understanding: The ERP should support multiple waste codes, multiple supporting references, and invoice-wise payment tracking.</w:t>
      </w:r>
    </w:p>
    <w:p>
      <w:pPr>
        <w:pStyle w:val="Heading2"/>
      </w:pPr>
      <w:r>
        <w:rPr>
          <w:color w:val="1F4E79"/>
        </w:rPr>
        <w:t>5.4 General Waste Monthly Billing Flow</w:t>
      </w:r>
    </w:p>
    <w:p>
      <w:r>
        <w:t>This applies when monthly summary data is used to raise an invoice.</w:t>
      </w:r>
    </w:p>
    <w:tbl>
      <w:tblPr>
        <w:tblW w:type="auto" w:w="0"/>
        <w:jc w:val="center"/>
        <w:tblLook w:firstColumn="1" w:firstRow="1" w:lastColumn="0" w:lastRow="0" w:noHBand="0" w:noVBand="1" w:val="04A0"/>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10368"/>
      </w:tblGrid>
      <w:tr>
        <w:trPr>
          <w:cantSplit/>
        </w:trPr>
        <w:tc>
          <w:tcPr>
            <w:tcW w:type="dxa" w:w="10368"/>
            <w:shd w:fill="EAF4FB"/>
            <w:vAlign w:val="center"/>
          </w:tcPr>
          <w:p>
            <w:pPr>
              <w:spacing w:after="0"/>
              <w:jc w:val="center"/>
            </w:pPr>
            <w:r>
              <w:rPr>
                <w:b/>
                <w:sz w:val="18"/>
              </w:rPr>
              <w:t>Monthly Waste Data</w:t>
            </w:r>
            <w:r>
              <w:br/>
            </w:r>
            <w:r>
              <w:rPr>
                <w:sz w:val="18"/>
              </w:rPr>
              <w:t>Summary Verification</w:t>
            </w:r>
            <w:r>
              <w:br/>
            </w:r>
            <w:r>
              <w:rPr>
                <w:b/>
                <w:sz w:val="18"/>
              </w:rPr>
              <w:t>Invoice Generation</w:t>
            </w:r>
            <w:r>
              <w:br/>
            </w:r>
            <w:r>
              <w:rPr>
                <w:sz w:val="18"/>
              </w:rPr>
              <w:t>Ledger / Supporting Attachment</w:t>
            </w:r>
            <w:r>
              <w:br/>
            </w:r>
            <w:r>
              <w:rPr>
                <w:b/>
                <w:sz w:val="18"/>
              </w:rPr>
              <w:t>Payment Tracking</w:t>
            </w:r>
          </w:p>
        </w:tc>
      </w:tr>
    </w:tbl>
    <w:p/>
    <w:p>
      <w:pPr>
        <w:spacing w:before="60" w:after="120"/>
        <w:ind w:left="216" w:right="216"/>
      </w:pPr>
      <w:r>
        <w:rPr>
          <w:i/>
          <w:color w:val="666666"/>
          <w:sz w:val="18"/>
        </w:rPr>
        <w:t>ERP understanding: The ERP should support monthly summary invoices with detailed line-wise attachment/reference.</w:t>
      </w:r>
    </w:p>
    <w:p>
      <w:pPr>
        <w:pStyle w:val="Heading2"/>
      </w:pPr>
      <w:r>
        <w:rPr>
          <w:color w:val="1F4E79"/>
        </w:rPr>
        <w:t>5.5 Transport, Labour, and Service Billing Flow</w:t>
      </w:r>
    </w:p>
    <w:p>
      <w:r>
        <w:t>This applies where billing is not directly related to material purchase or stock but to services provided.</w:t>
      </w:r>
    </w:p>
    <w:tbl>
      <w:tblPr>
        <w:tblW w:type="auto" w:w="0"/>
        <w:jc w:val="center"/>
        <w:tblLook w:firstColumn="1" w:firstRow="1" w:lastColumn="0" w:lastRow="0" w:noHBand="0" w:noVBand="1" w:val="04A0"/>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10368"/>
      </w:tblGrid>
      <w:tr>
        <w:trPr>
          <w:cantSplit/>
        </w:trPr>
        <w:tc>
          <w:tcPr>
            <w:tcW w:type="dxa" w:w="10368"/>
            <w:shd w:fill="EAF4FB"/>
            <w:vAlign w:val="center"/>
          </w:tcPr>
          <w:p>
            <w:pPr>
              <w:spacing w:after="0"/>
              <w:jc w:val="center"/>
            </w:pPr>
            <w:r>
              <w:rPr>
                <w:b/>
                <w:sz w:val="18"/>
              </w:rPr>
              <w:t>Service Contract / Monthly Service Record</w:t>
            </w:r>
            <w:r>
              <w:br/>
            </w:r>
            <w:r>
              <w:rPr>
                <w:sz w:val="18"/>
              </w:rPr>
              <w:t>Labour / Transport / Equipment / Miscellaneous Charges</w:t>
            </w:r>
            <w:r>
              <w:br/>
            </w:r>
            <w:r>
              <w:rPr>
                <w:b/>
                <w:sz w:val="18"/>
              </w:rPr>
              <w:t>Deduction / Penalty</w:t>
            </w:r>
            <w:r>
              <w:br/>
            </w:r>
            <w:r>
              <w:rPr>
                <w:sz w:val="18"/>
              </w:rPr>
              <w:t>Customer Invoice</w:t>
            </w:r>
            <w:r>
              <w:br/>
            </w:r>
            <w:r>
              <w:rPr>
                <w:b/>
                <w:sz w:val="18"/>
              </w:rPr>
              <w:t>Payment Tracking</w:t>
            </w:r>
          </w:p>
        </w:tc>
      </w:tr>
    </w:tbl>
    <w:p/>
    <w:p>
      <w:pPr>
        <w:spacing w:before="60" w:after="120"/>
        <w:ind w:left="216" w:right="216"/>
      </w:pPr>
      <w:r>
        <w:rPr>
          <w:i/>
          <w:color w:val="666666"/>
          <w:sz w:val="18"/>
        </w:rPr>
        <w:t>ERP understanding: This confirms that the billing module should support both material and non-material service billing.</w:t>
      </w:r>
    </w:p>
    <w:p>
      <w:pPr>
        <w:pStyle w:val="Heading2"/>
      </w:pPr>
      <w:r>
        <w:rPr>
          <w:color w:val="1F4E79"/>
        </w:rPr>
        <w:t>5.6 Landfill Disposal Expense Flow</w:t>
      </w:r>
    </w:p>
    <w:p>
      <w:r>
        <w:t>This applies when waste is disposed of at landfill and the landfill party raises an invoice to BP-Malaysia.</w:t>
      </w:r>
    </w:p>
    <w:tbl>
      <w:tblPr>
        <w:tblW w:type="auto" w:w="0"/>
        <w:jc w:val="center"/>
        <w:tblLook w:firstColumn="1" w:firstRow="1" w:lastColumn="0" w:lastRow="0" w:noHBand="0" w:noVBand="1" w:val="04A0"/>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10368"/>
      </w:tblGrid>
      <w:tr>
        <w:trPr>
          <w:cantSplit/>
        </w:trPr>
        <w:tc>
          <w:tcPr>
            <w:tcW w:type="dxa" w:w="10368"/>
            <w:shd w:fill="EAF4FB"/>
            <w:vAlign w:val="center"/>
          </w:tcPr>
          <w:p>
            <w:pPr>
              <w:spacing w:after="0"/>
              <w:jc w:val="center"/>
            </w:pPr>
            <w:r>
              <w:rPr>
                <w:b/>
                <w:sz w:val="18"/>
              </w:rPr>
              <w:t>Waste Sent to Landfill</w:t>
            </w:r>
            <w:r>
              <w:br/>
            </w:r>
            <w:r>
              <w:rPr>
                <w:sz w:val="18"/>
              </w:rPr>
              <w:t>Docket / Weight Record</w:t>
            </w:r>
            <w:r>
              <w:br/>
            </w:r>
            <w:r>
              <w:rPr>
                <w:b/>
                <w:sz w:val="18"/>
              </w:rPr>
              <w:t>Monthly Disposal Summary</w:t>
            </w:r>
            <w:r>
              <w:br/>
            </w:r>
            <w:r>
              <w:rPr>
                <w:sz w:val="18"/>
              </w:rPr>
              <w:t>Landfill Vendor Invoice</w:t>
            </w:r>
            <w:r>
              <w:br/>
            </w:r>
            <w:r>
              <w:rPr>
                <w:b/>
                <w:sz w:val="18"/>
              </w:rPr>
              <w:t>Payment Tracking</w:t>
            </w:r>
          </w:p>
        </w:tc>
      </w:tr>
    </w:tbl>
    <w:p/>
    <w:p>
      <w:pPr>
        <w:spacing w:before="60" w:after="120"/>
        <w:ind w:left="216" w:right="216"/>
      </w:pPr>
      <w:r>
        <w:rPr>
          <w:i/>
          <w:color w:val="666666"/>
          <w:sz w:val="18"/>
        </w:rPr>
        <w:t>ERP understanding: The ERP should allow one landfill invoice to be linked with multiple disposal records or weighment references.</w:t>
      </w:r>
    </w:p>
    <w:p>
      <w:pPr>
        <w:pStyle w:val="Heading2"/>
      </w:pPr>
      <w:r>
        <w:rPr>
          <w:color w:val="1F4E79"/>
        </w:rPr>
        <w:t>5.7 Direct Shipment / Third-Party Collection Flow</w:t>
      </w:r>
    </w:p>
    <w:p>
      <w:r>
        <w:t>This applies when material moves directly from supplier/source to customer/third party without coming into company stock.</w:t>
      </w:r>
    </w:p>
    <w:tbl>
      <w:tblPr>
        <w:tblW w:type="auto" w:w="0"/>
        <w:jc w:val="center"/>
        <w:tblLook w:firstColumn="1" w:firstRow="1" w:lastColumn="0" w:lastRow="0" w:noHBand="0" w:noVBand="1" w:val="04A0"/>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10368"/>
      </w:tblGrid>
      <w:tr>
        <w:trPr>
          <w:cantSplit/>
        </w:trPr>
        <w:tc>
          <w:tcPr>
            <w:tcW w:type="dxa" w:w="10368"/>
            <w:shd w:fill="EAF4FB"/>
            <w:vAlign w:val="center"/>
          </w:tcPr>
          <w:p>
            <w:pPr>
              <w:spacing w:after="0"/>
              <w:jc w:val="center"/>
            </w:pPr>
            <w:r>
              <w:rPr>
                <w:b/>
                <w:sz w:val="18"/>
              </w:rPr>
              <w:t>Supplier / Source</w:t>
            </w:r>
            <w:r>
              <w:br/>
            </w:r>
            <w:r>
              <w:rPr>
                <w:sz w:val="18"/>
              </w:rPr>
              <w:t>Customer / Third Party Location</w:t>
            </w:r>
            <w:r>
              <w:br/>
            </w:r>
            <w:r>
              <w:rPr>
                <w:b/>
                <w:sz w:val="18"/>
              </w:rPr>
              <w:t>Logistics Tracking</w:t>
            </w:r>
            <w:r>
              <w:br/>
            </w:r>
            <w:r>
              <w:rPr>
                <w:sz w:val="18"/>
              </w:rPr>
              <w:t>Supporting Documents</w:t>
            </w:r>
            <w:r>
              <w:br/>
            </w:r>
            <w:r>
              <w:rPr>
                <w:b/>
                <w:sz w:val="18"/>
              </w:rPr>
              <w:t>Billing / Invoice Mapping</w:t>
            </w:r>
            <w:r>
              <w:br/>
            </w:r>
            <w:r>
              <w:rPr>
                <w:sz w:val="18"/>
              </w:rPr>
              <w:t>Payment Tracking</w:t>
            </w:r>
          </w:p>
        </w:tc>
      </w:tr>
    </w:tbl>
    <w:p/>
    <w:p>
      <w:pPr>
        <w:spacing w:before="60" w:after="120"/>
        <w:ind w:left="216" w:right="216"/>
      </w:pPr>
      <w:r>
        <w:rPr>
          <w:i/>
          <w:color w:val="666666"/>
          <w:sz w:val="18"/>
        </w:rPr>
        <w:t>ERP understanding: Physical stock may not be updated, but logistics and commercial traceability are still required.</w:t>
      </w:r>
    </w:p>
    <w:p>
      <w:pPr>
        <w:pStyle w:val="Heading2"/>
      </w:pPr>
      <w:r>
        <w:rPr>
          <w:color w:val="1F4E79"/>
        </w:rPr>
        <w:t>5.8 Transport Charge with Stock Recovery Flow</w:t>
      </w:r>
    </w:p>
    <w:p>
      <w:r>
        <w:t>This applies when BP-Malaysia charges the customer for transport or service, but during collection some valuable material is recovered and moved into stock.</w:t>
      </w:r>
    </w:p>
    <w:tbl>
      <w:tblPr>
        <w:tblW w:type="auto" w:w="0"/>
        <w:jc w:val="center"/>
        <w:tblLook w:firstColumn="1" w:firstRow="1" w:lastColumn="0" w:lastRow="0" w:noHBand="0" w:noVBand="1" w:val="04A0"/>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
      <w:tblGrid>
        <w:gridCol w:w="10368"/>
      </w:tblGrid>
      <w:tr>
        <w:trPr>
          <w:cantSplit/>
        </w:trPr>
        <w:tc>
          <w:tcPr>
            <w:tcW w:type="dxa" w:w="10368"/>
            <w:shd w:fill="EAF4FB"/>
            <w:vAlign w:val="center"/>
          </w:tcPr>
          <w:p>
            <w:pPr>
              <w:spacing w:after="0"/>
              <w:jc w:val="center"/>
            </w:pPr>
            <w:r>
              <w:rPr>
                <w:b/>
                <w:sz w:val="18"/>
              </w:rPr>
              <w:t>Collection Job</w:t>
            </w:r>
            <w:r>
              <w:br/>
            </w:r>
            <w:r>
              <w:rPr>
                <w:sz w:val="18"/>
              </w:rPr>
              <w:t>Transport / Service Billing</w:t>
            </w:r>
            <w:r>
              <w:br/>
            </w:r>
            <w:r>
              <w:rPr>
                <w:b/>
                <w:sz w:val="18"/>
              </w:rPr>
              <w:t>Material Sorting</w:t>
            </w:r>
            <w:r>
              <w:br/>
            </w:r>
            <w:r>
              <w:rPr>
                <w:sz w:val="18"/>
              </w:rPr>
              <w:t>Valuable Material Identified</w:t>
            </w:r>
            <w:r>
              <w:br/>
            </w:r>
            <w:r>
              <w:rPr>
                <w:b/>
                <w:sz w:val="18"/>
              </w:rPr>
              <w:t>GRN / Stock Inward</w:t>
            </w:r>
            <w:r>
              <w:br/>
            </w:r>
            <w:r>
              <w:rPr>
                <w:sz w:val="18"/>
              </w:rPr>
              <w:t>Stock Available for Sale or Processing</w:t>
            </w:r>
          </w:p>
        </w:tc>
      </w:tr>
    </w:tbl>
    <w:p/>
    <w:p>
      <w:pPr>
        <w:spacing w:before="60" w:after="120"/>
        <w:ind w:left="216" w:right="216"/>
      </w:pPr>
      <w:r>
        <w:rPr>
          <w:i/>
          <w:color w:val="666666"/>
          <w:sz w:val="18"/>
        </w:rPr>
        <w:t>ERP understanding: This should be handled as a special transaction type because one job can create both service revenue and stock inward.</w:t>
      </w:r>
    </w:p>
    <w:p>
      <w:pPr>
        <w:pStyle w:val="Heading1"/>
      </w:pPr>
      <w:r>
        <w:rPr>
          <w:color w:val="1F4E79"/>
        </w:rPr>
        <w:t>6. Master Data Understanding</w:t>
      </w:r>
    </w:p>
    <w:p>
      <w:r>
        <w:t>Based on the shared sample data, the following masters are required:</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56"/>
        <w:gridCol w:w="3456"/>
        <w:gridCol w:w="3456"/>
      </w:tblGrid>
      <w:tr>
        <w:trPr>
          <w:tblHeader w:val="true"/>
        </w:trPr>
        <w:tc>
          <w:tcPr>
            <w:tcW w:type="dxa" w:w="3456"/>
            <w:shd w:fill="1F4E79"/>
          </w:tcPr>
          <w:p>
            <w:pPr>
              <w:spacing w:after="0"/>
            </w:pPr>
            <w:r/>
            <w:r>
              <w:rPr>
                <w:b/>
                <w:color w:val="FFFFFF"/>
                <w:sz w:val="18"/>
              </w:rPr>
              <w:t>Master</w:t>
            </w:r>
          </w:p>
        </w:tc>
        <w:tc>
          <w:tcPr>
            <w:tcW w:type="dxa" w:w="3456"/>
            <w:shd w:fill="1F4E79"/>
          </w:tcPr>
          <w:p>
            <w:pPr>
              <w:spacing w:after="0"/>
            </w:pPr>
            <w:r/>
            <w:r>
              <w:rPr>
                <w:b/>
                <w:color w:val="FFFFFF"/>
                <w:sz w:val="18"/>
              </w:rPr>
              <w:t>Purpose</w:t>
            </w:r>
          </w:p>
        </w:tc>
        <w:tc>
          <w:tcPr>
            <w:tcW w:type="dxa" w:w="3456"/>
            <w:shd w:fill="1F4E79"/>
          </w:tcPr>
          <w:p>
            <w:pPr>
              <w:spacing w:after="0"/>
            </w:pPr>
            <w:r/>
            <w:r>
              <w:rPr>
                <w:b/>
                <w:color w:val="FFFFFF"/>
                <w:sz w:val="18"/>
              </w:rPr>
              <w:t>Key Remarks</w:t>
            </w:r>
          </w:p>
        </w:tc>
      </w:tr>
      <w:tr>
        <w:tc>
          <w:tcPr>
            <w:tcW w:type="dxa" w:w="3456"/>
            <w:shd w:fill="F2F2F2"/>
          </w:tcPr>
          <w:p>
            <w:pPr>
              <w:spacing w:after="0"/>
            </w:pPr>
            <w:r/>
            <w:r>
              <w:rPr>
                <w:b/>
                <w:sz w:val="17"/>
              </w:rPr>
              <w:t>Company / Entity Master</w:t>
            </w:r>
          </w:p>
        </w:tc>
        <w:tc>
          <w:tcPr>
            <w:tcW w:type="dxa" w:w="3456"/>
          </w:tcPr>
          <w:p>
            <w:pPr>
              <w:spacing w:after="0"/>
            </w:pPr>
            <w:r/>
            <w:r>
              <w:rPr>
                <w:b w:val="0"/>
                <w:sz w:val="17"/>
              </w:rPr>
              <w:t>Company-wise transactions and documents</w:t>
            </w:r>
          </w:p>
        </w:tc>
        <w:tc>
          <w:tcPr>
            <w:tcW w:type="dxa" w:w="3456"/>
          </w:tcPr>
          <w:p>
            <w:pPr>
              <w:spacing w:after="0"/>
            </w:pPr>
            <w:r/>
            <w:r>
              <w:rPr>
                <w:b w:val="0"/>
                <w:sz w:val="17"/>
              </w:rPr>
              <w:t>Required for separate letterheads, numbering, tax details, and accounting mapping.</w:t>
            </w:r>
          </w:p>
        </w:tc>
      </w:tr>
      <w:tr>
        <w:tc>
          <w:tcPr>
            <w:tcW w:type="dxa" w:w="3456"/>
            <w:shd w:fill="F2F2F2"/>
          </w:tcPr>
          <w:p>
            <w:pPr>
              <w:spacing w:after="0"/>
            </w:pPr>
            <w:r/>
            <w:r>
              <w:rPr>
                <w:b/>
                <w:sz w:val="17"/>
              </w:rPr>
              <w:t>Material Master</w:t>
            </w:r>
          </w:p>
        </w:tc>
        <w:tc>
          <w:tcPr>
            <w:tcW w:type="dxa" w:w="3456"/>
          </w:tcPr>
          <w:p>
            <w:pPr>
              <w:spacing w:after="0"/>
            </w:pPr>
            <w:r/>
            <w:r>
              <w:rPr>
                <w:b w:val="0"/>
                <w:sz w:val="17"/>
              </w:rPr>
              <w:t>Material classification and UOM</w:t>
            </w:r>
          </w:p>
        </w:tc>
        <w:tc>
          <w:tcPr>
            <w:tcW w:type="dxa" w:w="3456"/>
          </w:tcPr>
          <w:p>
            <w:pPr>
              <w:spacing w:after="0"/>
            </w:pPr>
            <w:r/>
            <w:r>
              <w:rPr>
                <w:b w:val="0"/>
                <w:sz w:val="17"/>
              </w:rPr>
              <w:t>Should maintain stock/non-stock, scheduled/general waste, and commercial category.</w:t>
            </w:r>
          </w:p>
        </w:tc>
      </w:tr>
      <w:tr>
        <w:tc>
          <w:tcPr>
            <w:tcW w:type="dxa" w:w="3456"/>
            <w:shd w:fill="F2F2F2"/>
          </w:tcPr>
          <w:p>
            <w:pPr>
              <w:spacing w:after="0"/>
            </w:pPr>
            <w:r/>
            <w:r>
              <w:rPr>
                <w:b/>
                <w:sz w:val="17"/>
              </w:rPr>
              <w:t>Supplier Master</w:t>
            </w:r>
          </w:p>
        </w:tc>
        <w:tc>
          <w:tcPr>
            <w:tcW w:type="dxa" w:w="3456"/>
          </w:tcPr>
          <w:p>
            <w:pPr>
              <w:spacing w:after="0"/>
            </w:pPr>
            <w:r/>
            <w:r>
              <w:rPr>
                <w:b w:val="0"/>
                <w:sz w:val="17"/>
              </w:rPr>
              <w:t>Supplier purchase and payment tracking</w:t>
            </w:r>
          </w:p>
        </w:tc>
        <w:tc>
          <w:tcPr>
            <w:tcW w:type="dxa" w:w="3456"/>
          </w:tcPr>
          <w:p>
            <w:pPr>
              <w:spacing w:after="0"/>
            </w:pPr>
            <w:r/>
            <w:r>
              <w:rPr>
                <w:b w:val="0"/>
                <w:sz w:val="17"/>
              </w:rPr>
              <w:t>Should retain accounting code, credit terms, tax details, and contact information.</w:t>
            </w:r>
          </w:p>
        </w:tc>
      </w:tr>
      <w:tr>
        <w:tc>
          <w:tcPr>
            <w:tcW w:type="dxa" w:w="3456"/>
            <w:shd w:fill="F2F2F2"/>
          </w:tcPr>
          <w:p>
            <w:pPr>
              <w:spacing w:after="0"/>
            </w:pPr>
            <w:r/>
            <w:r>
              <w:rPr>
                <w:b/>
                <w:sz w:val="17"/>
              </w:rPr>
              <w:t>Customer Master</w:t>
            </w:r>
          </w:p>
        </w:tc>
        <w:tc>
          <w:tcPr>
            <w:tcW w:type="dxa" w:w="3456"/>
          </w:tcPr>
          <w:p>
            <w:pPr>
              <w:spacing w:after="0"/>
            </w:pPr>
            <w:r/>
            <w:r>
              <w:rPr>
                <w:b w:val="0"/>
                <w:sz w:val="17"/>
              </w:rPr>
              <w:t>Billing and collection tracking</w:t>
            </w:r>
          </w:p>
        </w:tc>
        <w:tc>
          <w:tcPr>
            <w:tcW w:type="dxa" w:w="3456"/>
          </w:tcPr>
          <w:p>
            <w:pPr>
              <w:spacing w:after="0"/>
            </w:pPr>
            <w:r/>
            <w:r>
              <w:rPr>
                <w:b w:val="0"/>
                <w:sz w:val="17"/>
              </w:rPr>
              <w:t>Should support billing address, delivery sites, credit terms, contracts, and tax details.</w:t>
            </w:r>
          </w:p>
        </w:tc>
      </w:tr>
      <w:tr>
        <w:tc>
          <w:tcPr>
            <w:tcW w:type="dxa" w:w="3456"/>
            <w:shd w:fill="F2F2F2"/>
          </w:tcPr>
          <w:p>
            <w:pPr>
              <w:spacing w:after="0"/>
            </w:pPr>
            <w:r/>
            <w:r>
              <w:rPr>
                <w:b/>
                <w:sz w:val="17"/>
              </w:rPr>
              <w:t>Location, Vehicle, Driver Masters</w:t>
            </w:r>
          </w:p>
        </w:tc>
        <w:tc>
          <w:tcPr>
            <w:tcW w:type="dxa" w:w="3456"/>
          </w:tcPr>
          <w:p>
            <w:pPr>
              <w:spacing w:after="0"/>
            </w:pPr>
            <w:r/>
            <w:r>
              <w:rPr>
                <w:b w:val="0"/>
                <w:sz w:val="17"/>
              </w:rPr>
              <w:t>Operational logistics control</w:t>
            </w:r>
          </w:p>
        </w:tc>
        <w:tc>
          <w:tcPr>
            <w:tcW w:type="dxa" w:w="3456"/>
          </w:tcPr>
          <w:p>
            <w:pPr>
              <w:spacing w:after="0"/>
            </w:pPr>
            <w:r/>
            <w:r>
              <w:rPr>
                <w:b w:val="0"/>
                <w:sz w:val="17"/>
              </w:rPr>
              <w:t>Required for route planning, assignments, proof collection, and compliance expiry alerts.</w:t>
            </w:r>
          </w:p>
        </w:tc>
      </w:tr>
      <w:tr>
        <w:tc>
          <w:tcPr>
            <w:tcW w:type="dxa" w:w="3456"/>
            <w:shd w:fill="F2F2F2"/>
          </w:tcPr>
          <w:p>
            <w:pPr>
              <w:spacing w:after="0"/>
            </w:pPr>
            <w:r/>
            <w:r>
              <w:rPr>
                <w:b/>
                <w:sz w:val="17"/>
              </w:rPr>
              <w:t>Contract / Agreement Master</w:t>
            </w:r>
          </w:p>
        </w:tc>
        <w:tc>
          <w:tcPr>
            <w:tcW w:type="dxa" w:w="3456"/>
          </w:tcPr>
          <w:p>
            <w:pPr>
              <w:spacing w:after="0"/>
            </w:pPr>
            <w:r/>
            <w:r>
              <w:rPr>
                <w:b w:val="0"/>
                <w:sz w:val="17"/>
              </w:rPr>
              <w:t>Monthly and agreement-based billing</w:t>
            </w:r>
          </w:p>
        </w:tc>
        <w:tc>
          <w:tcPr>
            <w:tcW w:type="dxa" w:w="3456"/>
          </w:tcPr>
          <w:p>
            <w:pPr>
              <w:spacing w:after="0"/>
            </w:pPr>
            <w:r/>
            <w:r>
              <w:rPr>
                <w:b w:val="0"/>
                <w:sz w:val="17"/>
              </w:rPr>
              <w:t>Required for fixed monthly amount, per trip, per kg, and service billing models.</w:t>
            </w:r>
          </w:p>
        </w:tc>
      </w:tr>
      <w:tr>
        <w:tc>
          <w:tcPr>
            <w:tcW w:type="dxa" w:w="3456"/>
            <w:shd w:fill="F2F2F2"/>
          </w:tcPr>
          <w:p>
            <w:pPr>
              <w:spacing w:after="0"/>
            </w:pPr>
            <w:r/>
            <w:r>
              <w:rPr>
                <w:b/>
                <w:sz w:val="17"/>
              </w:rPr>
              <w:t>Tax / Accounting Mapping Master</w:t>
            </w:r>
          </w:p>
        </w:tc>
        <w:tc>
          <w:tcPr>
            <w:tcW w:type="dxa" w:w="3456"/>
          </w:tcPr>
          <w:p>
            <w:pPr>
              <w:spacing w:after="0"/>
            </w:pPr>
            <w:r/>
            <w:r>
              <w:rPr>
                <w:b w:val="0"/>
                <w:sz w:val="17"/>
              </w:rPr>
              <w:t>Accounting system linkage</w:t>
            </w:r>
          </w:p>
        </w:tc>
        <w:tc>
          <w:tcPr>
            <w:tcW w:type="dxa" w:w="3456"/>
          </w:tcPr>
          <w:p>
            <w:pPr>
              <w:spacing w:after="0"/>
            </w:pPr>
            <w:r/>
            <w:r>
              <w:rPr>
                <w:b w:val="0"/>
                <w:sz w:val="17"/>
              </w:rPr>
              <w:t>Required for SQL accounting export or integration.</w:t>
            </w:r>
          </w:p>
        </w:tc>
      </w:tr>
    </w:tbl>
    <w:p>
      <w:pPr>
        <w:pStyle w:val="Heading1"/>
      </w:pPr>
      <w:r>
        <w:rPr>
          <w:color w:val="1F4E79"/>
        </w:rPr>
        <w:t>7. Important System Design Understanding</w:t>
      </w:r>
    </w:p>
    <w:p>
      <w:pPr>
        <w:pStyle w:val="Heading2"/>
      </w:pPr>
      <w:r>
        <w:rPr>
          <w:color w:val="1F4E79"/>
        </w:rPr>
        <w:t>7.1 Multiple Company Handling</w:t>
      </w:r>
    </w:p>
    <w:p>
      <w:r>
        <w:t>Since BP-Malaysia has multiple companies/entities, the ERP should support company-wise transactions, document numbering, letterhead formats, tax details, and accounting mapping.</w:t>
      </w:r>
    </w:p>
    <w:p>
      <w:pPr>
        <w:pStyle w:val="Heading2"/>
      </w:pPr>
      <w:r>
        <w:rPr>
          <w:color w:val="1F4E79"/>
        </w:rPr>
        <w:t>7.2 Document Format Handling</w:t>
      </w:r>
    </w:p>
    <w:p>
      <w:r>
        <w:t>Different companies may have different invoice, PO, GRN, and letterhead formats. The system should support configurable print formats.</w:t>
      </w:r>
    </w:p>
    <w:p>
      <w:pPr>
        <w:pStyle w:val="Heading2"/>
      </w:pPr>
      <w:r>
        <w:rPr>
          <w:color w:val="1F4E79"/>
        </w:rPr>
        <w:t>7.3 Stock / Non-Stock Classification</w:t>
      </w:r>
    </w:p>
    <w:p>
      <w:r>
        <w:t>Stock and Non-Stock classification should be used to control inventory impact. Stock items should update inventory through GRN or stock inward. Non-stock items should not affect inventory and should be treated as expense or service purchases.</w:t>
      </w:r>
    </w:p>
    <w:p>
      <w:pPr>
        <w:pStyle w:val="Heading2"/>
      </w:pPr>
      <w:r>
        <w:rPr>
          <w:color w:val="1F4E79"/>
        </w:rPr>
        <w:t>7.4 Valuable / Non-Valuable Classification</w:t>
      </w:r>
    </w:p>
    <w:p>
      <w:r>
        <w:t>Valuable / Non-Valuable should not be completely removed without confirmation, because it controls commercial behaviour. We recommend keeping commercial classification configurable in the system.</w:t>
      </w:r>
    </w:p>
    <w:p>
      <w:pPr>
        <w:pStyle w:val="Heading2"/>
      </w:pPr>
      <w:r>
        <w:rPr>
          <w:color w:val="1F4E79"/>
        </w:rPr>
        <w:t>7.5 Scheduled Waste / General Waste Classification</w:t>
      </w:r>
    </w:p>
    <w:p>
      <w:r>
        <w:t>Scheduled Waste / General Waste should be maintained clearly for compliance and reporting. It may be derived from material group where applicable, but the final classification should be stored in the material master.</w:t>
      </w:r>
    </w:p>
    <w:p>
      <w:pPr>
        <w:pStyle w:val="Heading2"/>
      </w:pPr>
      <w:r>
        <w:rPr>
          <w:color w:val="1F4E79"/>
        </w:rPr>
        <w:t>7.6 Logistics Planning</w:t>
      </w:r>
    </w:p>
    <w:p>
      <w:r>
        <w:t>The current logistics process appears to be managed manually through WhatsApp-style planning. The ERP should convert this into a structured logistics planning screen with planned and actual updates.</w:t>
      </w:r>
    </w:p>
    <w:p>
      <w:pPr>
        <w:pStyle w:val="Heading2"/>
      </w:pPr>
      <w:r>
        <w:rPr>
          <w:color w:val="1F4E79"/>
        </w:rPr>
        <w:t>7.7 Supporting Document Attachments</w:t>
      </w:r>
    </w:p>
    <w:p>
      <w:r>
        <w:t>The system should allow document upload at different transaction stages, including supplier invoice, customer invoice, DO, gate pass, consignment note, weight note, GRN, photos, monthly summary, landfill invoice, and payment proof.</w:t>
      </w:r>
    </w:p>
    <w:p>
      <w:pPr>
        <w:pStyle w:val="Heading2"/>
      </w:pPr>
      <w:r>
        <w:rPr>
          <w:color w:val="1F4E79"/>
        </w:rPr>
        <w:t>7.8 Accounting Software Integration</w:t>
      </w:r>
    </w:p>
    <w:p>
      <w:r>
        <w:t>The shared data indicates that customer codes, supplier codes, item codes, and invoice references may be linked with the existing SQL accounting system. Integration scope should be confirmed separately.</w:t>
      </w:r>
    </w:p>
    <w:p>
      <w:pPr>
        <w:pStyle w:val="Heading1"/>
      </w:pPr>
      <w:r>
        <w:rPr>
          <w:color w:val="1F4E79"/>
        </w:rPr>
        <w:t>8. Response to BP-Malaysia Questions</w:t>
      </w:r>
    </w:p>
    <w:p>
      <w:pPr>
        <w:keepNext/>
        <w:spacing w:before="120" w:after="40"/>
      </w:pPr>
      <w:r>
        <w:rPr>
          <w:b/>
          <w:color w:val="1F4E79"/>
          <w:sz w:val="21"/>
        </w:rPr>
        <w:t>Question 1: BP-Malaysia has three companies. Can the system support different letterheads?</w:t>
      </w:r>
    </w:p>
    <w:p>
      <w:pPr>
        <w:spacing w:after="80"/>
        <w:ind w:left="288"/>
      </w:pPr>
      <w:r>
        <w:t>Yes. The ERP can support multiple companies/entities. Each company can have its own company profile, registration details, tax details, logo, letterhead, bank details, and document format.</w:t>
      </w:r>
    </w:p>
    <w:p>
      <w:pPr>
        <w:spacing w:after="80"/>
        <w:ind w:left="288"/>
      </w:pPr>
      <w:r>
        <w:t>The system can generate company-wise documents such as PR, PO, invoice, GRN, delivery order, and reports using the respective company letterhead. This will be considered in the system design.</w:t>
      </w:r>
    </w:p>
    <w:p>
      <w:pPr>
        <w:keepNext/>
        <w:spacing w:before="120" w:after="40"/>
      </w:pPr>
      <w:r>
        <w:rPr>
          <w:b/>
          <w:color w:val="1F4E79"/>
          <w:sz w:val="21"/>
        </w:rPr>
        <w:t>Question 2: Each entity has different item codes. How will this be handled, especially if integrated with SQL accounting software?</w:t>
      </w:r>
    </w:p>
    <w:p>
      <w:pPr>
        <w:spacing w:after="80"/>
        <w:ind w:left="288"/>
      </w:pPr>
      <w:r>
        <w:t>The ERP can maintain a common material master internally and also maintain company-wise or accounting-system-wise item code mapping.</w:t>
      </w:r>
    </w:p>
    <w:p>
      <w:pPr>
        <w:spacing w:after="80"/>
        <w:ind w:left="288"/>
      </w:pPr>
      <w:r>
        <w:t>For example, the same material can have an ERP material code, Company A accounting item code, Company B accounting item code, and SQL accounting item code. This will allow the ERP to standardize operational tracking while still supporting accounting system requirements.</w:t>
      </w:r>
    </w:p>
    <w:p>
      <w:pPr>
        <w:spacing w:after="80"/>
        <w:ind w:left="288"/>
      </w:pPr>
      <w:r>
        <w:t>The final integration approach will depend on the SQL accounting software structure and import/export capability.</w:t>
      </w:r>
    </w:p>
    <w:p>
      <w:pPr>
        <w:keepNext/>
        <w:spacing w:before="120" w:after="40"/>
      </w:pPr>
      <w:r>
        <w:rPr>
          <w:b/>
          <w:color w:val="1F4E79"/>
          <w:sz w:val="21"/>
        </w:rPr>
        <w:t>Question 3: Can Stock / Non-Stock replace Valuable / Non-Valuable?</w:t>
      </w:r>
    </w:p>
    <w:p>
      <w:pPr>
        <w:spacing w:after="80"/>
        <w:ind w:left="288"/>
      </w:pPr>
      <w:r>
        <w:t>Our recommendation is not to fully replace Valuable / Non-Valuable with Stock / Non-Stock.</w:t>
      </w:r>
    </w:p>
    <w:p>
      <w:pPr>
        <w:spacing w:after="80"/>
        <w:ind w:left="288"/>
      </w:pPr>
      <w:r>
        <w:t>Stock / Non-Stock and Valuable / Non-Valuable serve different purposes. Stock / Non-Stock controls whether the item affects inventory, while Valuable / Non-Valuable controls the commercial and billing logic.</w:t>
      </w:r>
    </w:p>
    <w:p>
      <w:pPr>
        <w:spacing w:after="80"/>
        <w:ind w:left="288"/>
      </w:pPr>
      <w:r>
        <w:t>Therefore, we recommend maintaining both classifications or using a configurable commercial category in addition to Stock / Non-Stock.</w:t>
      </w:r>
    </w:p>
    <w:p>
      <w:pPr>
        <w:keepNext/>
        <w:spacing w:before="120" w:after="40"/>
      </w:pPr>
      <w:r>
        <w:rPr>
          <w:b/>
          <w:color w:val="1F4E79"/>
          <w:sz w:val="21"/>
        </w:rPr>
        <w:t>Question 4: Can Scheduled Waste / General Waste be identified through Material Group?</w:t>
      </w:r>
    </w:p>
    <w:p>
      <w:pPr>
        <w:spacing w:after="80"/>
        <w:ind w:left="288"/>
      </w:pPr>
      <w:r>
        <w:t>Yes. Scheduled Waste / General Waste can be derived from the Material Group where the classification is fixed. For example, SW104, SW110, SW422, and similar groups can be treated as Scheduled Waste based on the material group.</w:t>
      </w:r>
    </w:p>
    <w:p>
      <w:pPr>
        <w:spacing w:after="80"/>
        <w:ind w:left="288"/>
      </w:pPr>
      <w:r>
        <w:t>However, the final SW/GW classification should still be stored in the material master for reporting, compliance, and audit traceability. This will reduce manual entry errors while keeping the classification clear in the system.</w:t>
      </w:r>
    </w:p>
    <w:p>
      <w:pPr>
        <w:keepNext/>
        <w:spacing w:before="120" w:after="40"/>
      </w:pPr>
      <w:r>
        <w:rPr>
          <w:b/>
          <w:color w:val="1F4E79"/>
          <w:sz w:val="21"/>
        </w:rPr>
        <w:t>Question 5: Some materials are collected based on a fixed monthly payment agreement. How will this be handled?</w:t>
      </w:r>
    </w:p>
    <w:p>
      <w:pPr>
        <w:spacing w:after="80"/>
        <w:ind w:left="288"/>
      </w:pPr>
      <w:r>
        <w:t>This should be handled through a Contract / Agreement module instead of a normal PR/PO flow.</w:t>
      </w:r>
    </w:p>
    <w:p>
      <w:pPr>
        <w:spacing w:after="80"/>
        <w:ind w:left="288"/>
      </w:pPr>
      <w:r>
        <w:t>The agreement can define the customer or supplier, agreement period, monthly fixed amount, waste/material scope, collection frequency, billing cycle, supporting document requirement, and payment terms.</w:t>
      </w:r>
    </w:p>
    <w:p>
      <w:pPr>
        <w:spacing w:after="80"/>
        <w:ind w:left="288"/>
      </w:pPr>
      <w:r>
        <w:t>The ERP can then track collections under the agreement and support monthly billing or payment tracking based on the agreed terms.</w:t>
      </w:r>
    </w:p>
    <w:p>
      <w:pPr>
        <w:keepNext/>
        <w:spacing w:before="120" w:after="40"/>
      </w:pPr>
      <w:r>
        <w:rPr>
          <w:b/>
          <w:color w:val="1F4E79"/>
          <w:sz w:val="21"/>
        </w:rPr>
        <w:t>Question 6: BP-Malaysia charges the customer transport charges, but some valuable goods may be sorted and kept in store. How will this be recorded?</w:t>
      </w:r>
    </w:p>
    <w:p>
      <w:pPr>
        <w:spacing w:after="80"/>
        <w:ind w:left="288"/>
      </w:pPr>
      <w:r>
        <w:t>This should be handled as a mixed transaction.</w:t>
      </w:r>
    </w:p>
    <w:p>
      <w:pPr>
        <w:spacing w:after="80"/>
        <w:ind w:left="288"/>
      </w:pPr>
      <w:r>
        <w:t>The system can record the collection job and raise transport/service charges to the customer. After the collected material is sorted, any valuable material identified can be recorded through GRN or stock inward.</w:t>
      </w:r>
    </w:p>
    <w:p>
      <w:pPr>
        <w:spacing w:after="80"/>
        <w:ind w:left="288"/>
      </w:pPr>
      <w:r>
        <w:t>Therefore, one collection job may result in transport/service billing to customer, stock inward for valuable recovered material, and disposal tracking for rejected or non-usable material, if applicable.</w:t>
      </w:r>
    </w:p>
    <w:p>
      <w:pPr>
        <w:keepNext/>
        <w:spacing w:before="120" w:after="40"/>
      </w:pPr>
      <w:r>
        <w:rPr>
          <w:b/>
          <w:color w:val="1F4E79"/>
          <w:sz w:val="21"/>
        </w:rPr>
        <w:t>Question 7: For direct shipment from supplier to customer, should the destination be maintained as Third Party or specific customer location?</w:t>
      </w:r>
    </w:p>
    <w:p>
      <w:pPr>
        <w:spacing w:after="80"/>
        <w:ind w:left="288"/>
      </w:pPr>
      <w:r>
        <w:t>We recommend maintaining specific customer locations instead of only using a generic Third Party option.</w:t>
      </w:r>
    </w:p>
    <w:p>
      <w:pPr>
        <w:spacing w:after="80"/>
        <w:ind w:left="288"/>
      </w:pPr>
      <w:r>
        <w:t>The actual customer delivery location is required for delivery tracking, logistics planning, invoice reference, route planning, audit trail, and customer-wise reporting. Therefore, the system should have a Customer Location / Delivery Site Master.</w:t>
      </w:r>
    </w:p>
    <w:p>
      <w:pPr>
        <w:keepNext/>
        <w:spacing w:before="120" w:after="40"/>
      </w:pPr>
      <w:r>
        <w:rPr>
          <w:b/>
          <w:color w:val="1F4E79"/>
          <w:sz w:val="21"/>
        </w:rPr>
        <w:t>Question 8: For third-party transport, should vehicle and driver details be mandatory?</w:t>
      </w:r>
    </w:p>
    <w:p>
      <w:pPr>
        <w:spacing w:after="80"/>
        <w:ind w:left="288"/>
      </w:pPr>
      <w:r>
        <w:t>This can be configurable based on the type of movement.</w:t>
      </w:r>
    </w:p>
    <w:p>
      <w:pPr>
        <w:spacing w:after="80"/>
        <w:ind w:left="288"/>
      </w:pPr>
      <w:r>
        <w:t>For own vehicles, vehicle number and driver details should be mandatory. For third-party transport, transporter name should be mandatory. Vehicle number and driver details can be optional or mandatory depending on compliance requirement.</w:t>
      </w:r>
    </w:p>
    <w:p>
      <w:pPr>
        <w:spacing w:after="80"/>
        <w:ind w:left="288"/>
      </w:pPr>
      <w:r>
        <w:t>For scheduled waste or regulated movement, vehicle and driver details should preferably be mandatory. The final rule can be confirmed during workflow finalization.</w:t>
      </w:r>
    </w:p>
    <w:p>
      <w:pPr>
        <w:keepNext/>
        <w:spacing w:before="120" w:after="40"/>
      </w:pPr>
      <w:r>
        <w:rPr>
          <w:b/>
          <w:color w:val="1F4E79"/>
          <w:sz w:val="21"/>
        </w:rPr>
        <w:t>Question 9: Current logistics is planned through WhatsApp. Can this be converted into the system?</w:t>
      </w:r>
    </w:p>
    <w:p>
      <w:pPr>
        <w:spacing w:after="80"/>
        <w:ind w:left="288"/>
      </w:pPr>
      <w:r>
        <w:t>Yes. The current WhatsApp-style logistics planning can be converted into a structured Logistics Planning module.</w:t>
      </w:r>
    </w:p>
    <w:p>
      <w:pPr>
        <w:spacing w:after="80"/>
        <w:ind w:left="288"/>
      </w:pPr>
      <w:r>
        <w:t>The system can capture planned date, vehicle, driver, from location, to location, customer/supplier, material, planned quantity, actual quantity, actual collection status, actual delivery status, and supporting photos/documents.</w:t>
      </w:r>
    </w:p>
    <w:p>
      <w:pPr>
        <w:spacing w:after="80"/>
        <w:ind w:left="288"/>
      </w:pPr>
      <w:r>
        <w:t>This will help the logistics team track planned versus actual movement.</w:t>
      </w:r>
    </w:p>
    <w:p>
      <w:pPr>
        <w:keepNext/>
        <w:spacing w:before="120" w:after="40"/>
      </w:pPr>
      <w:r>
        <w:rPr>
          <w:b/>
          <w:color w:val="1F4E79"/>
          <w:sz w:val="21"/>
        </w:rPr>
        <w:t>Question 10: Can monthly summary invoices and supporting documents be handled?</w:t>
      </w:r>
    </w:p>
    <w:p>
      <w:pPr>
        <w:spacing w:after="80"/>
        <w:ind w:left="288"/>
      </w:pPr>
      <w:r>
        <w:t>Yes. The ERP should support monthly summary billing and monthly summary vendor invoices.</w:t>
      </w:r>
    </w:p>
    <w:p>
      <w:pPr>
        <w:spacing w:after="80"/>
        <w:ind w:left="288"/>
      </w:pPr>
      <w:r>
        <w:t>This applies to general waste monthly billing, service/labour monthly billing, landfill monthly invoice, and contract-based monthly billing.</w:t>
      </w:r>
    </w:p>
    <w:p>
      <w:pPr>
        <w:spacing w:after="80"/>
        <w:ind w:left="288"/>
      </w:pPr>
      <w:r>
        <w:t>The system should allow summary invoices to be linked with multiple underlying records, such as weigh slips, delivery orders, trips, dockets, and supporting reports.</w:t>
      </w:r>
    </w:p>
    <w:p>
      <w:pPr>
        <w:keepNext/>
        <w:spacing w:before="120" w:after="40"/>
      </w:pPr>
      <w:r>
        <w:rPr>
          <w:b/>
          <w:color w:val="1F4E79"/>
          <w:sz w:val="21"/>
        </w:rPr>
        <w:t>Question 11: How will landfill disposal billing be handled?</w:t>
      </w:r>
    </w:p>
    <w:p>
      <w:pPr>
        <w:spacing w:after="80"/>
        <w:ind w:left="288"/>
      </w:pPr>
      <w:r>
        <w:t>Landfill disposal should be handled as a separate disposal expense flow.</w:t>
      </w:r>
    </w:p>
    <w:p>
      <w:pPr>
        <w:spacing w:after="80"/>
        <w:ind w:left="288"/>
      </w:pPr>
      <w:r>
        <w:t>The system should capture landfill vendor, disposal date, vehicle/docket reference, quantity, rate, monthly summary, vendor invoice, and payment status.</w:t>
      </w:r>
    </w:p>
    <w:p>
      <w:pPr>
        <w:spacing w:after="80"/>
        <w:ind w:left="288"/>
      </w:pPr>
      <w:r>
        <w:t>One landfill invoice may be linked with multiple disposal entries or weighment records.</w:t>
      </w:r>
    </w:p>
    <w:p>
      <w:pPr>
        <w:keepNext/>
        <w:spacing w:before="120" w:after="40"/>
      </w:pPr>
      <w:r>
        <w:rPr>
          <w:b/>
          <w:color w:val="1F4E79"/>
          <w:sz w:val="21"/>
        </w:rPr>
        <w:t>Question 12: Can weight note be used if DO or other documents are not available?</w:t>
      </w:r>
    </w:p>
    <w:p>
      <w:pPr>
        <w:spacing w:after="80"/>
        <w:ind w:left="288"/>
      </w:pPr>
      <w:r>
        <w:t>Yes. Weight note can be treated as one of the valid supporting documents.</w:t>
      </w:r>
    </w:p>
    <w:p>
      <w:pPr>
        <w:spacing w:after="80"/>
        <w:ind w:left="288"/>
      </w:pPr>
      <w:r>
        <w:t>The system can allow attachment and entry of weight note details such as weight note number, date, collection date, gross weight, net weight, description, issued by, verified by, and attachment copy.</w:t>
      </w:r>
    </w:p>
    <w:p>
      <w:pPr>
        <w:spacing w:after="80"/>
        <w:ind w:left="288"/>
      </w:pPr>
      <w:r>
        <w:t>Based on the transaction type, the weight note can support GRN, billing, or logistics closure.</w:t>
      </w:r>
    </w:p>
    <w:p>
      <w:pPr>
        <w:keepNext/>
        <w:spacing w:before="120" w:after="40"/>
      </w:pPr>
      <w:r>
        <w:rPr>
          <w:b/>
          <w:color w:val="1F4E79"/>
          <w:sz w:val="21"/>
        </w:rPr>
        <w:t>Question 13: Can the system track payment made and payment received?</w:t>
      </w:r>
    </w:p>
    <w:p>
      <w:pPr>
        <w:spacing w:after="80"/>
        <w:ind w:left="288"/>
      </w:pPr>
      <w:r>
        <w:t>Yes. The system should track both payment made and payment received.</w:t>
      </w:r>
    </w:p>
    <w:p>
      <w:pPr>
        <w:spacing w:after="80"/>
        <w:ind w:left="288"/>
      </w:pPr>
      <w:r>
        <w:t>Examples include payment made to supplier, payment received from customer, payment made to landfill vendor, and payment received from supplier in non-valuable material cases.</w:t>
      </w:r>
    </w:p>
    <w:p>
      <w:pPr>
        <w:spacing w:after="80"/>
        <w:ind w:left="288"/>
      </w:pPr>
      <w:r>
        <w:t>The system should support statuses such as Pending, Partially Paid, Paid, and Overdue.</w:t>
      </w:r>
    </w:p>
    <w:p>
      <w:pPr>
        <w:keepNext/>
        <w:spacing w:before="120" w:after="40"/>
      </w:pPr>
      <w:r>
        <w:rPr>
          <w:b/>
          <w:color w:val="1F4E79"/>
          <w:sz w:val="21"/>
        </w:rPr>
        <w:t>Question 14: Can the ERP be integrated with the SQL accounting system?</w:t>
      </w:r>
    </w:p>
    <w:p>
      <w:pPr>
        <w:spacing w:after="80"/>
        <w:ind w:left="288"/>
      </w:pPr>
      <w:r>
        <w:t>Yes, integration can be considered. However, the final integration method depends on the existing SQL accounting software.</w:t>
      </w:r>
    </w:p>
    <w:p>
      <w:pPr>
        <w:spacing w:after="80"/>
        <w:ind w:left="288"/>
      </w:pPr>
      <w:r>
        <w:t>Possible integration approaches include export from ERP and import into SQL accounting software, direct database/API integration if supported, or a reference-only integration where ERP tracks operational data and the accounting system handles finance posting.</w:t>
      </w:r>
    </w:p>
    <w:p>
      <w:pPr>
        <w:spacing w:after="80"/>
        <w:ind w:left="288"/>
      </w:pPr>
      <w:r>
        <w:t>To finalize this, we need to study the SQL accounting software structure, item codes, customer codes, supplier codes, invoice format, tax mapping, and import/export options.</w:t>
      </w:r>
    </w:p>
    <w:p>
      <w:pPr>
        <w:pStyle w:val="Heading1"/>
      </w:pPr>
      <w:r>
        <w:rPr>
          <w:color w:val="1F4E79"/>
        </w:rPr>
        <w:t>9. Key Recommendations</w:t>
      </w:r>
    </w:p>
    <w:p>
      <w:r>
        <w:t>Based on our understanding, we recommend the ERP should be designed with flexible transaction types rather than one fixed workflow. The following transaction types should be supported:</w:t>
      </w:r>
    </w:p>
    <w:p>
      <w:pPr>
        <w:pStyle w:val="ListBullet"/>
      </w:pPr>
      <w:r>
        <w:t>Stock purchase</w:t>
      </w:r>
    </w:p>
    <w:p>
      <w:pPr>
        <w:pStyle w:val="ListBullet"/>
      </w:pPr>
      <w:r>
        <w:t>Non-stock purchase</w:t>
      </w:r>
    </w:p>
    <w:p>
      <w:pPr>
        <w:pStyle w:val="ListBullet"/>
      </w:pPr>
      <w:r>
        <w:t>Scheduled waste billing</w:t>
      </w:r>
    </w:p>
    <w:p>
      <w:pPr>
        <w:pStyle w:val="ListBullet"/>
      </w:pPr>
      <w:r>
        <w:t>General waste monthly billing</w:t>
      </w:r>
    </w:p>
    <w:p>
      <w:pPr>
        <w:pStyle w:val="ListBullet"/>
      </w:pPr>
      <w:r>
        <w:t>Transport/labour/service billing</w:t>
      </w:r>
    </w:p>
    <w:p>
      <w:pPr>
        <w:pStyle w:val="ListBullet"/>
      </w:pPr>
      <w:r>
        <w:t>Landfill disposal expense</w:t>
      </w:r>
    </w:p>
    <w:p>
      <w:pPr>
        <w:pStyle w:val="ListBullet"/>
      </w:pPr>
      <w:r>
        <w:t>Direct shipment / third-party collection</w:t>
      </w:r>
    </w:p>
    <w:p>
      <w:pPr>
        <w:pStyle w:val="ListBullet"/>
      </w:pPr>
      <w:r>
        <w:t>Contract or agreement-based billing</w:t>
      </w:r>
    </w:p>
    <w:p>
      <w:pPr>
        <w:pStyle w:val="ListBullet"/>
      </w:pPr>
      <w:r>
        <w:t>Transport charge with stock recovery</w:t>
      </w:r>
    </w:p>
    <w:p>
      <w:r>
        <w:t>This approach will cover the actual business scenarios observed from the site visit and BP-Malaysia shared documents.</w:t>
      </w:r>
    </w:p>
    <w:p>
      <w:pPr>
        <w:pStyle w:val="Heading1"/>
      </w:pPr>
      <w:r>
        <w:rPr>
          <w:color w:val="1F4E79"/>
        </w:rPr>
        <w:t>10. Items to Be Confirmed Before FRD</w:t>
      </w:r>
    </w:p>
    <w:p>
      <w:pPr>
        <w:spacing w:after="40"/>
        <w:ind w:left="403" w:hanging="403"/>
      </w:pPr>
      <w:r>
        <w:t>1.</w:t>
        <w:tab/>
        <w:t>Final company/entity list and document formats</w:t>
      </w:r>
    </w:p>
    <w:p>
      <w:pPr>
        <w:spacing w:after="40"/>
        <w:ind w:left="403" w:hanging="403"/>
      </w:pPr>
      <w:r>
        <w:t>2.</w:t>
        <w:tab/>
        <w:t>Whether item code standardization is required across companies</w:t>
      </w:r>
    </w:p>
    <w:p>
      <w:pPr>
        <w:spacing w:after="40"/>
        <w:ind w:left="403" w:hanging="403"/>
      </w:pPr>
      <w:r>
        <w:t>3.</w:t>
        <w:tab/>
        <w:t>SQL accounting software integration scope</w:t>
      </w:r>
    </w:p>
    <w:p>
      <w:pPr>
        <w:spacing w:after="40"/>
        <w:ind w:left="403" w:hanging="403"/>
      </w:pPr>
      <w:r>
        <w:t>4.</w:t>
        <w:tab/>
        <w:t>Final material classification logic</w:t>
      </w:r>
    </w:p>
    <w:p>
      <w:pPr>
        <w:spacing w:after="40"/>
        <w:ind w:left="403" w:hanging="403"/>
      </w:pPr>
      <w:r>
        <w:t>5.</w:t>
        <w:tab/>
        <w:t>Whether Valuable / Non-Valuable should remain as a separate classification</w:t>
      </w:r>
    </w:p>
    <w:p>
      <w:pPr>
        <w:spacing w:after="40"/>
        <w:ind w:left="403" w:hanging="403"/>
      </w:pPr>
      <w:r>
        <w:t>6.</w:t>
        <w:tab/>
        <w:t>Whether Scheduled Waste / General Waste should be auto-derived from material group</w:t>
      </w:r>
    </w:p>
    <w:p>
      <w:pPr>
        <w:spacing w:after="40"/>
        <w:ind w:left="403" w:hanging="403"/>
      </w:pPr>
      <w:r>
        <w:t>7.</w:t>
        <w:tab/>
        <w:t>Contract/agreement billing rules</w:t>
      </w:r>
    </w:p>
    <w:p>
      <w:pPr>
        <w:spacing w:after="40"/>
        <w:ind w:left="403" w:hanging="403"/>
      </w:pPr>
      <w:r>
        <w:t>8.</w:t>
        <w:tab/>
        <w:t>Third-party transporter mandatory fields</w:t>
      </w:r>
    </w:p>
    <w:p>
      <w:pPr>
        <w:spacing w:after="40"/>
        <w:ind w:left="403" w:hanging="403"/>
      </w:pPr>
      <w:r>
        <w:t>9.</w:t>
        <w:tab/>
        <w:t>Approval requirements for PR, PO, invoice, GRN, logistics, and payment</w:t>
      </w:r>
    </w:p>
    <w:p>
      <w:pPr>
        <w:spacing w:after="40"/>
        <w:ind w:left="403" w:hanging="403"/>
      </w:pPr>
      <w:r>
        <w:t>10.</w:t>
        <w:tab/>
        <w:t>Monthly billing and summary invoice rules</w:t>
      </w:r>
    </w:p>
    <w:p>
      <w:pPr>
        <w:spacing w:after="40"/>
        <w:ind w:left="403" w:hanging="403"/>
      </w:pPr>
      <w:r>
        <w:t>11.</w:t>
        <w:tab/>
        <w:t>Landfill disposal tracking requirements</w:t>
      </w:r>
    </w:p>
    <w:p>
      <w:pPr>
        <w:spacing w:after="40"/>
        <w:ind w:left="403" w:hanging="403"/>
      </w:pPr>
      <w:r>
        <w:t>12.</w:t>
        <w:tab/>
        <w:t>Required reports and dashboards</w:t>
      </w:r>
    </w:p>
    <w:p>
      <w:pPr>
        <w:pStyle w:val="Heading1"/>
      </w:pPr>
      <w:r>
        <w:rPr>
          <w:color w:val="1F4E79"/>
        </w:rPr>
        <w:t>11. Next Step</w:t>
      </w:r>
    </w:p>
    <w:p>
      <w:r>
        <w:t>Once the above understanding is reviewed and confirmed by BP-Malaysia, the next step will be to prepare the detailed Functional Requirement Document.</w:t>
      </w:r>
    </w:p>
    <w:p>
      <w:r>
        <w:t>The FRD will include:</w:t>
      </w:r>
    </w:p>
    <w:p>
      <w:pPr>
        <w:pStyle w:val="ListBullet"/>
      </w:pPr>
      <w:r>
        <w:t>Module-wise scope</w:t>
      </w:r>
    </w:p>
    <w:p>
      <w:pPr>
        <w:pStyle w:val="ListBullet"/>
      </w:pPr>
      <w:r>
        <w:t>Screen-wise field details</w:t>
      </w:r>
    </w:p>
    <w:p>
      <w:pPr>
        <w:pStyle w:val="ListBullet"/>
      </w:pPr>
      <w:r>
        <w:t>Workflow and status flow</w:t>
      </w:r>
    </w:p>
    <w:p>
      <w:pPr>
        <w:pStyle w:val="ListBullet"/>
      </w:pPr>
      <w:r>
        <w:t>Approval matrix</w:t>
      </w:r>
    </w:p>
    <w:p>
      <w:pPr>
        <w:pStyle w:val="ListBullet"/>
      </w:pPr>
      <w:r>
        <w:t>Report requirements</w:t>
      </w:r>
    </w:p>
    <w:p>
      <w:pPr>
        <w:pStyle w:val="ListBullet"/>
      </w:pPr>
      <w:r>
        <w:t>Print format requirements</w:t>
      </w:r>
    </w:p>
    <w:p>
      <w:pPr>
        <w:pStyle w:val="ListBullet"/>
      </w:pPr>
      <w:r>
        <w:t>Integration scope</w:t>
      </w:r>
    </w:p>
    <w:p>
      <w:pPr>
        <w:pStyle w:val="ListBullet"/>
      </w:pPr>
      <w:r>
        <w:t>User roles and access control</w:t>
      </w:r>
    </w:p>
    <w:p>
      <w:pPr>
        <w:pStyle w:val="ListBullet"/>
      </w:pPr>
      <w:r>
        <w:t>Document attachment requirements</w:t>
      </w:r>
    </w:p>
    <w:p>
      <w:pPr>
        <w:pStyle w:val="ListBullet"/>
      </w:pPr>
      <w:r>
        <w:t>Final implementation roadmap</w:t>
      </w:r>
    </w:p>
    <w:p>
      <w:r>
        <w:t>The FRD will be prepared only after BP-Malaysia confirms the above business understanding and pending clarification points.</w:t>
      </w:r>
    </w:p>
    <w:p>
      <w:pPr>
        <w:pStyle w:val="Heading1"/>
      </w:pPr>
      <w:r>
        <w:rPr>
          <w:color w:val="1F4E79"/>
        </w:rPr>
        <w:t>12. Closing Statement</w:t>
      </w:r>
    </w:p>
    <w:p>
      <w:r>
        <w:t>Based on the site visit and documents shared, our understanding is that BP-Malaysia requires an integrated ERP system to manage procurement, logistics, stock, billing, disposal, service charges, document tracking, and payment follow-up in a single platform.</w:t>
      </w:r>
    </w:p>
    <w:p>
      <w:r>
        <w:t>The system should be flexible enough to handle stock, non-stock, scheduled waste, general waste, service billing, landfill expense, direct shipment, monthly contract billing, and accounting integration requirements.</w:t>
      </w:r>
    </w:p>
    <w:p>
      <w:r>
        <w:t>We request BP-Malaysia to review and confirm this understanding so that we can proceed with the detailed FRD preparation as the next step.</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Prepared for BP-Malaysia | Understanding Note and Query Response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BP-Malaysia ERP Understanding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BP-Malaysia ERP Understanding Note and Response</dc:title>
  <dc:subject>Business understanding and query response</dc:subject>
  <dc:creator>Zigma Global Environ Solutions Pvt. Ltd.</dc:creator>
  <cp:keywords/>
  <dc:description>Prepared based on site visit and BP-Malaysia shared documents.</dc:description>
  <cp:lastModifiedBy/>
  <cp:revision>1</cp:revision>
  <dcterms:created xsi:type="dcterms:W3CDTF">2013-12-23T23:15:00Z</dcterms:created>
  <dcterms:modified xsi:type="dcterms:W3CDTF">2013-12-23T23:15:00Z</dcterms:modified>
  <cp:category/>
</cp:coreProperties>
</file>