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80"/>
        <w:jc w:val="center"/>
        <w:rPr/>
      </w:pPr>
      <w:r>
        <w:rPr>
          <w:rFonts w:eastAsia="Arial" w:cs="Arial"/>
          <w:b/>
          <w:bCs/>
          <w:color w:val="1B4F8A"/>
          <w:sz w:val="52"/>
          <w:szCs w:val="52"/>
        </w:rPr>
        <w:t>Blue Planet Biofuels</w:t>
      </w:r>
    </w:p>
    <w:p>
      <w:pPr>
        <w:pStyle w:val="Normal"/>
        <w:spacing w:before="0" w:after="60"/>
        <w:jc w:val="center"/>
        <w:rPr/>
      </w:pPr>
      <w:r>
        <w:rPr>
          <w:rFonts w:eastAsia="Arial" w:cs="Arial"/>
          <w:color w:val="2E75B6"/>
          <w:sz w:val="32"/>
          <w:szCs w:val="32"/>
        </w:rPr>
        <w:t>ERP Platform – Weekly Task Report</w:t>
      </w:r>
    </w:p>
    <w:p>
      <w:pPr>
        <w:pStyle w:val="Normal"/>
        <w:pBdr>
          <w:bottom w:val="single" w:sz="10" w:space="8" w:color="1B4F8A"/>
        </w:pBdr>
        <w:spacing w:before="0" w:after="400"/>
        <w:jc w:val="center"/>
        <w:rPr/>
      </w:pPr>
      <w:r>
        <w:rPr>
          <w:rFonts w:eastAsia="Arial" w:cs="Arial"/>
          <w:i/>
          <w:iCs/>
          <w:color w:val="555555"/>
          <w:sz w:val="22"/>
          <w:szCs w:val="22"/>
        </w:rPr>
        <w:t>Prepared by: Monika P   |   Week: 08 June 2026 – 13 June 2026</w:t>
      </w:r>
    </w:p>
    <w:p>
      <w:pPr>
        <w:pStyle w:val="Heading1"/>
        <w:pBdr>
          <w:bottom w:val="single" w:sz="6" w:space="4" w:color="2E75B6"/>
        </w:pBdr>
        <w:spacing w:before="300" w:after="120"/>
        <w:rPr/>
      </w:pPr>
      <w:r>
        <w:rPr>
          <w:rFonts w:eastAsia="Arial" w:cs="Arial" w:ascii="Arial" w:hAnsi="Arial"/>
          <w:b/>
          <w:bCs/>
          <w:color w:val="1B4F8A"/>
          <w:sz w:val="28"/>
          <w:szCs w:val="28"/>
        </w:rPr>
        <w:t>1. Executive Summary</w:t>
      </w:r>
    </w:p>
    <w:p>
      <w:pPr>
        <w:pStyle w:val="Normal"/>
        <w:spacing w:before="60" w:after="60"/>
        <w:rPr/>
      </w:pPr>
      <w:r>
        <w:rPr>
          <w:rFonts w:eastAsia="Arial" w:cs="Arial"/>
          <w:sz w:val="22"/>
          <w:szCs w:val="22"/>
        </w:rPr>
        <w:t>This week's activities focused on ESG Module development, Procurement Module corrections and enhancements, ERP review sessions, and infrastructure analysis for the new BP ERP deployment.</w:t>
      </w:r>
    </w:p>
    <w:p>
      <w:pPr>
        <w:pStyle w:val="Normal"/>
        <w:spacing w:before="80" w:after="40"/>
        <w:rPr/>
      </w:pPr>
      <w:r>
        <w:rPr>
          <w:rFonts w:eastAsia="Arial" w:cs="Arial"/>
          <w:b/>
          <w:bCs/>
          <w:sz w:val="22"/>
          <w:szCs w:val="22"/>
        </w:rPr>
        <w:t>Key highlights include:</w:t>
      </w:r>
    </w:p>
    <w:p>
      <w:pPr>
        <w:pStyle w:val="ListParagraph"/>
        <w:numPr>
          <w:ilvl w:val="0"/>
          <w:numId w:val="3"/>
        </w:numPr>
        <w:spacing w:before="40" w:after="40"/>
        <w:rPr/>
      </w:pPr>
      <w:r>
        <w:rPr>
          <w:rFonts w:eastAsia="Arial" w:cs="Arial"/>
          <w:sz w:val="22"/>
          <w:szCs w:val="22"/>
        </w:rPr>
        <w:t>Developed ESG Compliance and Insurance Register modules.</w:t>
      </w:r>
    </w:p>
    <w:p>
      <w:pPr>
        <w:pStyle w:val="ListParagraph"/>
        <w:numPr>
          <w:ilvl w:val="0"/>
          <w:numId w:val="1"/>
        </w:numPr>
        <w:spacing w:before="40" w:after="40"/>
        <w:rPr/>
      </w:pPr>
      <w:r>
        <w:rPr>
          <w:rFonts w:eastAsia="Arial" w:cs="Arial"/>
          <w:sz w:val="22"/>
          <w:szCs w:val="22"/>
        </w:rPr>
        <w:t>Implemented frontend and backend development for ESG master and transaction forms.</w:t>
      </w:r>
    </w:p>
    <w:p>
      <w:pPr>
        <w:pStyle w:val="ListParagraph"/>
        <w:numPr>
          <w:ilvl w:val="0"/>
          <w:numId w:val="1"/>
        </w:numPr>
        <w:spacing w:before="40" w:after="40"/>
        <w:rPr/>
      </w:pPr>
      <w:r>
        <w:rPr>
          <w:rFonts w:eastAsia="Arial" w:cs="Arial"/>
          <w:sz w:val="22"/>
          <w:szCs w:val="22"/>
        </w:rPr>
        <w:t>Performed procurement module corrections and enhancements in Rate Order and Sales modules.</w:t>
      </w:r>
    </w:p>
    <w:p>
      <w:pPr>
        <w:pStyle w:val="ListParagraph"/>
        <w:numPr>
          <w:ilvl w:val="0"/>
          <w:numId w:val="1"/>
        </w:numPr>
        <w:spacing w:before="40" w:after="40"/>
        <w:rPr>
          <w:rFonts w:ascii="Arial" w:hAnsi="Arial" w:eastAsia="Arial" w:cs="Arial"/>
          <w:sz w:val="22"/>
          <w:szCs w:val="22"/>
        </w:rPr>
      </w:pPr>
      <w:r>
        <w:rPr>
          <w:rFonts w:eastAsia="Arial" w:cs="Arial"/>
          <w:sz w:val="22"/>
          <w:szCs w:val="22"/>
        </w:rPr>
        <w:t>Conducted New BP ERP review and module verification.</w:t>
      </w:r>
    </w:p>
    <w:p>
      <w:pPr>
        <w:pStyle w:val="Heading1"/>
        <w:pBdr>
          <w:bottom w:val="single" w:sz="6" w:space="4" w:color="2E75B6"/>
        </w:pBdr>
        <w:spacing w:before="300" w:after="120"/>
        <w:rPr/>
      </w:pPr>
      <w:r>
        <w:rPr>
          <w:rFonts w:eastAsia="Arial" w:cs="Arial" w:ascii="Arial" w:hAnsi="Arial"/>
          <w:b/>
          <w:bCs/>
          <w:color w:val="1B4F8A"/>
          <w:sz w:val="28"/>
          <w:szCs w:val="28"/>
        </w:rPr>
        <w:t>2. Task Breakdown</w:t>
      </w:r>
    </w:p>
    <w:p>
      <w:pPr>
        <w:pStyle w:val="Heading2"/>
        <w:spacing w:before="200" w:after="80"/>
        <w:rPr/>
      </w:pPr>
      <w:r>
        <w:rPr>
          <w:rFonts w:eastAsia="Arial" w:cs="Arial" w:ascii="Arial" w:hAnsi="Arial"/>
          <w:b/>
          <w:bCs/>
          <w:color w:val="2E75B6"/>
          <w:sz w:val="24"/>
          <w:szCs w:val="24"/>
        </w:rPr>
        <w:t>A. ESG Compliance Register Development</w:t>
      </w:r>
    </w:p>
    <w:p>
      <w:pPr>
        <w:pStyle w:val="Normal"/>
        <w:spacing w:before="60" w:after="60"/>
        <w:rPr/>
      </w:pPr>
      <w:r>
        <w:rPr>
          <w:rFonts w:eastAsia="Arial" w:cs="Arial"/>
          <w:b/>
          <w:bCs/>
          <w:sz w:val="22"/>
          <w:szCs w:val="22"/>
        </w:rPr>
        <w:t>Activities Performed:</w:t>
      </w:r>
    </w:p>
    <w:p>
      <w:pPr>
        <w:pStyle w:val="ListParagraph"/>
        <w:numPr>
          <w:ilvl w:val="0"/>
          <w:numId w:val="1"/>
        </w:numPr>
        <w:spacing w:before="40" w:after="40"/>
        <w:rPr/>
      </w:pPr>
      <w:r>
        <w:rPr>
          <w:rFonts w:eastAsia="Arial" w:cs="Arial"/>
          <w:sz w:val="22"/>
          <w:szCs w:val="22"/>
        </w:rPr>
        <w:t>Developed ESG Compliance Register Master Form.</w:t>
      </w:r>
    </w:p>
    <w:p>
      <w:pPr>
        <w:pStyle w:val="ListParagraph"/>
        <w:numPr>
          <w:ilvl w:val="0"/>
          <w:numId w:val="1"/>
        </w:numPr>
        <w:spacing w:before="40" w:after="40"/>
        <w:rPr/>
      </w:pPr>
      <w:r>
        <w:rPr>
          <w:rFonts w:eastAsia="Arial" w:cs="Arial"/>
          <w:sz w:val="22"/>
          <w:szCs w:val="22"/>
        </w:rPr>
        <w:t>Implemented frontend screens and backend APIs.</w:t>
      </w:r>
    </w:p>
    <w:p>
      <w:pPr>
        <w:pStyle w:val="ListParagraph"/>
        <w:numPr>
          <w:ilvl w:val="0"/>
          <w:numId w:val="1"/>
        </w:numPr>
        <w:spacing w:before="40" w:after="40"/>
        <w:rPr/>
      </w:pPr>
      <w:r>
        <w:rPr>
          <w:rFonts w:eastAsia="Arial" w:cs="Arial"/>
          <w:sz w:val="22"/>
          <w:szCs w:val="22"/>
        </w:rPr>
        <w:t>Created database structures and validations.</w:t>
      </w:r>
    </w:p>
    <w:p>
      <w:pPr>
        <w:pStyle w:val="ListParagraph"/>
        <w:numPr>
          <w:ilvl w:val="0"/>
          <w:numId w:val="1"/>
        </w:numPr>
        <w:spacing w:before="40" w:after="40"/>
        <w:rPr/>
      </w:pPr>
      <w:r>
        <w:rPr>
          <w:rFonts w:eastAsia="Arial" w:cs="Arial"/>
          <w:sz w:val="22"/>
          <w:szCs w:val="22"/>
        </w:rPr>
        <w:t>Integrated compliance entry workflows.</w:t>
      </w:r>
    </w:p>
    <w:p>
      <w:pPr>
        <w:pStyle w:val="Normal"/>
        <w:spacing w:before="80" w:after="40"/>
        <w:rPr/>
      </w:pPr>
      <w:r>
        <w:rPr>
          <w:rFonts w:eastAsia="Arial" w:cs="Arial"/>
          <w:b/>
          <w:bCs/>
          <w:sz w:val="22"/>
          <w:szCs w:val="22"/>
        </w:rPr>
        <w:t xml:space="preserve">Outcome: </w:t>
      </w:r>
      <w:r>
        <w:rPr>
          <w:rFonts w:eastAsia="Arial" w:cs="Arial"/>
          <w:sz w:val="22"/>
          <w:szCs w:val="22"/>
        </w:rPr>
        <w:t>ESG Compliance Register module developed and integrated successfully.</w:t>
      </w:r>
    </w:p>
    <w:p>
      <w:pPr>
        <w:pStyle w:val="Heading2"/>
        <w:spacing w:before="200" w:after="80"/>
        <w:rPr/>
      </w:pPr>
      <w:r>
        <w:rPr>
          <w:rFonts w:eastAsia="Arial" w:cs="Arial" w:ascii="Arial" w:hAnsi="Arial"/>
          <w:b/>
          <w:bCs/>
          <w:color w:val="2E75B6"/>
          <w:sz w:val="24"/>
          <w:szCs w:val="24"/>
        </w:rPr>
        <w:t>B. ESG Insurance Register Development</w:t>
      </w:r>
    </w:p>
    <w:p>
      <w:pPr>
        <w:pStyle w:val="Normal"/>
        <w:spacing w:before="60" w:after="60"/>
        <w:rPr/>
      </w:pPr>
      <w:r>
        <w:rPr>
          <w:rFonts w:eastAsia="Arial" w:cs="Arial"/>
          <w:b/>
          <w:bCs/>
          <w:sz w:val="22"/>
          <w:szCs w:val="22"/>
        </w:rPr>
        <w:t>Activities Performed:</w:t>
      </w:r>
    </w:p>
    <w:p>
      <w:pPr>
        <w:pStyle w:val="ListParagraph"/>
        <w:numPr>
          <w:ilvl w:val="0"/>
          <w:numId w:val="1"/>
        </w:numPr>
        <w:spacing w:before="40" w:after="40"/>
        <w:rPr/>
      </w:pPr>
      <w:r>
        <w:rPr>
          <w:rFonts w:eastAsia="Arial" w:cs="Arial"/>
          <w:sz w:val="22"/>
          <w:szCs w:val="22"/>
        </w:rPr>
        <w:t>Developed ESG Insurance Register Form.</w:t>
      </w:r>
    </w:p>
    <w:p>
      <w:pPr>
        <w:pStyle w:val="ListParagraph"/>
        <w:numPr>
          <w:ilvl w:val="0"/>
          <w:numId w:val="1"/>
        </w:numPr>
        <w:spacing w:before="40" w:after="40"/>
        <w:rPr/>
      </w:pPr>
      <w:r>
        <w:rPr>
          <w:rFonts w:eastAsia="Arial" w:cs="Arial"/>
          <w:sz w:val="22"/>
          <w:szCs w:val="22"/>
        </w:rPr>
        <w:t>Implemented insurance listing functionality within compliance entries.</w:t>
      </w:r>
    </w:p>
    <w:p>
      <w:pPr>
        <w:pStyle w:val="ListParagraph"/>
        <w:numPr>
          <w:ilvl w:val="0"/>
          <w:numId w:val="1"/>
        </w:numPr>
        <w:spacing w:before="40" w:after="40"/>
        <w:rPr/>
      </w:pPr>
      <w:r>
        <w:rPr>
          <w:rFonts w:eastAsia="Arial" w:cs="Arial"/>
          <w:sz w:val="22"/>
          <w:szCs w:val="22"/>
        </w:rPr>
        <w:t>Developed frontend and backend integration.</w:t>
      </w:r>
    </w:p>
    <w:p>
      <w:pPr>
        <w:pStyle w:val="ListParagraph"/>
        <w:numPr>
          <w:ilvl w:val="0"/>
          <w:numId w:val="1"/>
        </w:numPr>
        <w:spacing w:before="40" w:after="40"/>
        <w:rPr/>
      </w:pPr>
      <w:r>
        <w:rPr>
          <w:rFonts w:eastAsia="Arial" w:cs="Arial"/>
          <w:sz w:val="22"/>
          <w:szCs w:val="22"/>
        </w:rPr>
        <w:t>Added insurance-related data management workflows.</w:t>
      </w:r>
    </w:p>
    <w:p>
      <w:pPr>
        <w:pStyle w:val="Normal"/>
        <w:spacing w:before="80" w:after="40"/>
        <w:rPr/>
      </w:pPr>
      <w:r>
        <w:rPr>
          <w:rFonts w:eastAsia="Arial" w:cs="Arial"/>
          <w:b/>
          <w:bCs/>
          <w:sz w:val="22"/>
          <w:szCs w:val="22"/>
        </w:rPr>
        <w:t xml:space="preserve">Outcome: </w:t>
      </w:r>
      <w:r>
        <w:rPr>
          <w:rFonts w:eastAsia="Arial" w:cs="Arial"/>
          <w:sz w:val="22"/>
          <w:szCs w:val="22"/>
        </w:rPr>
        <w:t>ESG Insurance Register module completed with full-stack implementation.</w:t>
      </w:r>
    </w:p>
    <w:p>
      <w:pPr>
        <w:pStyle w:val="Heading2"/>
        <w:spacing w:before="200" w:after="80"/>
        <w:rPr/>
      </w:pPr>
      <w:r>
        <w:rPr>
          <w:rFonts w:eastAsia="Arial" w:cs="Arial" w:ascii="Arial" w:hAnsi="Arial"/>
          <w:b/>
          <w:bCs/>
          <w:color w:val="2E75B6"/>
          <w:sz w:val="24"/>
          <w:szCs w:val="24"/>
        </w:rPr>
        <w:t>C. ESG Form Corrections &amp; Enhancements</w:t>
      </w:r>
    </w:p>
    <w:p>
      <w:pPr>
        <w:pStyle w:val="Normal"/>
        <w:spacing w:before="60" w:after="60"/>
        <w:rPr/>
      </w:pPr>
      <w:r>
        <w:rPr>
          <w:rFonts w:eastAsia="Arial" w:cs="Arial"/>
          <w:b/>
          <w:bCs/>
          <w:sz w:val="22"/>
          <w:szCs w:val="22"/>
        </w:rPr>
        <w:t>Activities Performed:</w:t>
      </w:r>
    </w:p>
    <w:p>
      <w:pPr>
        <w:pStyle w:val="ListParagraph"/>
        <w:numPr>
          <w:ilvl w:val="0"/>
          <w:numId w:val="1"/>
        </w:numPr>
        <w:spacing w:before="40" w:after="40"/>
        <w:rPr/>
      </w:pPr>
      <w:r>
        <w:rPr>
          <w:rFonts w:eastAsia="Arial" w:cs="Arial"/>
          <w:sz w:val="22"/>
          <w:szCs w:val="22"/>
        </w:rPr>
        <w:t>Added renewal-related fields in Complaints and Insurance Registers.</w:t>
      </w:r>
    </w:p>
    <w:p>
      <w:pPr>
        <w:pStyle w:val="ListParagraph"/>
        <w:numPr>
          <w:ilvl w:val="0"/>
          <w:numId w:val="1"/>
        </w:numPr>
        <w:spacing w:before="40" w:after="40"/>
        <w:rPr/>
      </w:pPr>
      <w:r>
        <w:rPr>
          <w:rFonts w:eastAsia="Arial" w:cs="Arial"/>
          <w:sz w:val="22"/>
          <w:szCs w:val="22"/>
        </w:rPr>
        <w:t>Modified overall review and renewal button behavior.</w:t>
      </w:r>
    </w:p>
    <w:p>
      <w:pPr>
        <w:pStyle w:val="ListParagraph"/>
        <w:numPr>
          <w:ilvl w:val="0"/>
          <w:numId w:val="1"/>
        </w:numPr>
        <w:spacing w:before="40" w:after="40"/>
        <w:rPr/>
      </w:pPr>
      <w:r>
        <w:rPr>
          <w:rFonts w:eastAsia="Arial" w:cs="Arial"/>
          <w:sz w:val="22"/>
          <w:szCs w:val="22"/>
        </w:rPr>
        <w:t>Conducted verification and testing of newly added functionalities.</w:t>
      </w:r>
    </w:p>
    <w:p>
      <w:pPr>
        <w:pStyle w:val="ListParagraph"/>
        <w:numPr>
          <w:ilvl w:val="0"/>
          <w:numId w:val="1"/>
        </w:numPr>
        <w:spacing w:before="40" w:after="40"/>
        <w:rPr/>
      </w:pPr>
      <w:r>
        <w:rPr>
          <w:rFonts w:eastAsia="Arial" w:cs="Arial"/>
          <w:sz w:val="22"/>
          <w:szCs w:val="22"/>
        </w:rPr>
        <w:t>Performed form correction activities based on user feedback.</w:t>
      </w:r>
    </w:p>
    <w:p>
      <w:pPr>
        <w:pStyle w:val="Normal"/>
        <w:spacing w:before="80" w:after="40"/>
        <w:rPr/>
      </w:pPr>
      <w:r>
        <w:rPr>
          <w:rFonts w:eastAsia="Arial" w:cs="Arial"/>
          <w:b/>
          <w:bCs/>
          <w:sz w:val="22"/>
          <w:szCs w:val="22"/>
        </w:rPr>
        <w:t xml:space="preserve">Outcome: </w:t>
      </w:r>
      <w:r>
        <w:rPr>
          <w:rFonts w:eastAsia="Arial" w:cs="Arial"/>
          <w:sz w:val="22"/>
          <w:szCs w:val="22"/>
        </w:rPr>
        <w:t>ESG module enhancements completed and submitted for review.</w:t>
      </w:r>
    </w:p>
    <w:p>
      <w:pPr>
        <w:pStyle w:val="Heading2"/>
        <w:spacing w:before="200" w:after="80"/>
        <w:rPr/>
      </w:pPr>
      <w:r>
        <w:rPr>
          <w:rFonts w:eastAsia="Arial" w:cs="Arial" w:ascii="Arial" w:hAnsi="Arial"/>
          <w:b/>
          <w:bCs/>
          <w:color w:val="2E75B6"/>
          <w:sz w:val="24"/>
          <w:szCs w:val="24"/>
        </w:rPr>
        <w:t>D. Procurement Module Corrections</w:t>
      </w:r>
    </w:p>
    <w:p>
      <w:pPr>
        <w:pStyle w:val="Normal"/>
        <w:spacing w:before="60" w:after="60"/>
        <w:rPr/>
      </w:pPr>
      <w:r>
        <w:rPr>
          <w:rFonts w:eastAsia="Arial" w:cs="Arial"/>
          <w:b/>
          <w:bCs/>
          <w:sz w:val="22"/>
          <w:szCs w:val="22"/>
        </w:rPr>
        <w:t>Activities Performed:</w:t>
      </w:r>
    </w:p>
    <w:p>
      <w:pPr>
        <w:pStyle w:val="ListParagraph"/>
        <w:numPr>
          <w:ilvl w:val="0"/>
          <w:numId w:val="1"/>
        </w:numPr>
        <w:spacing w:before="40" w:after="40"/>
        <w:rPr/>
      </w:pPr>
      <w:r>
        <w:rPr>
          <w:rFonts w:eastAsia="Arial" w:cs="Arial"/>
          <w:sz w:val="22"/>
          <w:szCs w:val="22"/>
        </w:rPr>
        <w:t>Modified Rate Order form functionality.</w:t>
      </w:r>
    </w:p>
    <w:p>
      <w:pPr>
        <w:pStyle w:val="ListParagraph"/>
        <w:numPr>
          <w:ilvl w:val="0"/>
          <w:numId w:val="1"/>
        </w:numPr>
        <w:spacing w:before="40" w:after="40"/>
        <w:rPr/>
      </w:pPr>
      <w:r>
        <w:rPr>
          <w:rFonts w:eastAsia="Arial" w:cs="Arial"/>
          <w:sz w:val="22"/>
          <w:szCs w:val="22"/>
        </w:rPr>
        <w:t>Implemented required changes in procurement workflows.</w:t>
      </w:r>
    </w:p>
    <w:p>
      <w:pPr>
        <w:pStyle w:val="ListParagraph"/>
        <w:numPr>
          <w:ilvl w:val="0"/>
          <w:numId w:val="1"/>
        </w:numPr>
        <w:spacing w:before="40" w:after="40"/>
        <w:rPr/>
      </w:pPr>
      <w:r>
        <w:rPr>
          <w:rFonts w:eastAsia="Arial" w:cs="Arial"/>
          <w:sz w:val="22"/>
          <w:szCs w:val="22"/>
        </w:rPr>
        <w:t>Performed form-level validations and corrections.</w:t>
      </w:r>
    </w:p>
    <w:p>
      <w:pPr>
        <w:pStyle w:val="ListParagraph"/>
        <w:numPr>
          <w:ilvl w:val="0"/>
          <w:numId w:val="1"/>
        </w:numPr>
        <w:spacing w:before="40" w:after="40"/>
        <w:rPr/>
      </w:pPr>
      <w:r>
        <w:rPr>
          <w:rFonts w:eastAsia="Arial" w:cs="Arial"/>
          <w:sz w:val="22"/>
          <w:szCs w:val="22"/>
        </w:rPr>
        <w:t>Coordinated testing activities for procurement processes.</w:t>
      </w:r>
    </w:p>
    <w:p>
      <w:pPr>
        <w:pStyle w:val="Normal"/>
        <w:spacing w:before="80" w:after="40"/>
        <w:rPr/>
      </w:pPr>
      <w:r>
        <w:rPr>
          <w:rFonts w:eastAsia="Arial" w:cs="Arial"/>
          <w:b/>
          <w:bCs/>
          <w:sz w:val="22"/>
          <w:szCs w:val="22"/>
        </w:rPr>
        <w:t xml:space="preserve">Outcome: </w:t>
      </w:r>
      <w:r>
        <w:rPr>
          <w:rFonts w:eastAsia="Arial" w:cs="Arial"/>
          <w:sz w:val="22"/>
          <w:szCs w:val="22"/>
        </w:rPr>
        <w:t>Procurement module corrections completed and validated.</w:t>
      </w:r>
    </w:p>
    <w:p>
      <w:pPr>
        <w:pStyle w:val="Heading2"/>
        <w:spacing w:before="200" w:after="80"/>
        <w:rPr/>
      </w:pPr>
      <w:r>
        <w:rPr>
          <w:rFonts w:eastAsia="Arial" w:cs="Arial" w:ascii="Arial" w:hAnsi="Arial"/>
          <w:b/>
          <w:bCs/>
          <w:color w:val="2E75B6"/>
          <w:sz w:val="24"/>
          <w:szCs w:val="24"/>
        </w:rPr>
        <w:t>E</w:t>
      </w:r>
      <w:r>
        <w:rPr>
          <w:rFonts w:eastAsia="Arial" w:cs="Arial" w:ascii="Arial" w:hAnsi="Arial"/>
          <w:b/>
          <w:bCs/>
          <w:color w:val="2E75B6"/>
          <w:sz w:val="24"/>
          <w:szCs w:val="24"/>
        </w:rPr>
        <w:t>. Compliance Dashboard Support</w:t>
      </w:r>
    </w:p>
    <w:p>
      <w:pPr>
        <w:pStyle w:val="Normal"/>
        <w:spacing w:before="60" w:after="60"/>
        <w:rPr/>
      </w:pPr>
      <w:r>
        <w:rPr>
          <w:rFonts w:eastAsia="Arial" w:cs="Arial"/>
          <w:b/>
          <w:bCs/>
          <w:sz w:val="22"/>
          <w:szCs w:val="22"/>
        </w:rPr>
        <w:t>Activities Performed:</w:t>
      </w:r>
    </w:p>
    <w:p>
      <w:pPr>
        <w:pStyle w:val="ListParagraph"/>
        <w:numPr>
          <w:ilvl w:val="0"/>
          <w:numId w:val="1"/>
        </w:numPr>
        <w:spacing w:before="40" w:after="40"/>
        <w:rPr/>
      </w:pPr>
      <w:r>
        <w:rPr>
          <w:rFonts w:eastAsia="Arial" w:cs="Arial"/>
          <w:sz w:val="22"/>
          <w:szCs w:val="22"/>
        </w:rPr>
        <w:t>Provided development support for Compliance Dashboard activities.</w:t>
      </w:r>
    </w:p>
    <w:p>
      <w:pPr>
        <w:pStyle w:val="ListParagraph"/>
        <w:numPr>
          <w:ilvl w:val="0"/>
          <w:numId w:val="1"/>
        </w:numPr>
        <w:spacing w:before="40" w:after="40"/>
        <w:rPr/>
      </w:pPr>
      <w:r>
        <w:rPr>
          <w:rFonts w:eastAsia="Arial" w:cs="Arial"/>
          <w:sz w:val="22"/>
          <w:szCs w:val="22"/>
        </w:rPr>
        <w:t>Assisted with issue verification and implementation requirements.</w:t>
      </w:r>
    </w:p>
    <w:p>
      <w:pPr>
        <w:pStyle w:val="ListParagraph"/>
        <w:numPr>
          <w:ilvl w:val="0"/>
          <w:numId w:val="1"/>
        </w:numPr>
        <w:spacing w:before="40" w:after="40"/>
        <w:rPr/>
      </w:pPr>
      <w:r>
        <w:rPr>
          <w:rFonts w:eastAsia="Arial" w:cs="Arial"/>
          <w:sz w:val="22"/>
          <w:szCs w:val="22"/>
        </w:rPr>
        <w:t>Coordinated testing and validation support.</w:t>
      </w:r>
    </w:p>
    <w:p>
      <w:pPr>
        <w:pStyle w:val="Normal"/>
        <w:spacing w:before="80" w:after="40"/>
        <w:rPr/>
      </w:pPr>
      <w:r>
        <w:rPr>
          <w:rFonts w:eastAsia="Arial" w:cs="Arial"/>
          <w:b/>
          <w:bCs/>
          <w:sz w:val="22"/>
          <w:szCs w:val="22"/>
        </w:rPr>
        <w:t xml:space="preserve">Outcome: </w:t>
      </w:r>
      <w:r>
        <w:rPr>
          <w:rFonts w:eastAsia="Arial" w:cs="Arial"/>
          <w:sz w:val="22"/>
          <w:szCs w:val="22"/>
        </w:rPr>
        <w:t>Dashboard support activities completed successfully.</w:t>
      </w:r>
    </w:p>
    <w:p>
      <w:pPr>
        <w:pStyle w:val="Heading2"/>
        <w:spacing w:before="200" w:after="80"/>
        <w:rPr/>
      </w:pPr>
      <w:r>
        <w:rPr>
          <w:rFonts w:eastAsia="Arial" w:cs="Arial" w:ascii="Arial" w:hAnsi="Arial"/>
          <w:b/>
          <w:bCs/>
          <w:color w:val="2E75B6"/>
          <w:sz w:val="24"/>
          <w:szCs w:val="24"/>
        </w:rPr>
        <w:t>F</w:t>
      </w:r>
      <w:r>
        <w:rPr>
          <w:rFonts w:eastAsia="Arial" w:cs="Arial" w:ascii="Arial" w:hAnsi="Arial"/>
          <w:b/>
          <w:bCs/>
          <w:color w:val="2E75B6"/>
          <w:sz w:val="24"/>
          <w:szCs w:val="24"/>
        </w:rPr>
        <w:t>. New BP ERP Review &amp; Verification</w:t>
      </w:r>
    </w:p>
    <w:p>
      <w:pPr>
        <w:pStyle w:val="Normal"/>
        <w:spacing w:before="60" w:after="60"/>
        <w:rPr/>
      </w:pPr>
      <w:r>
        <w:rPr>
          <w:rFonts w:eastAsia="Arial" w:cs="Arial"/>
          <w:b/>
          <w:bCs/>
          <w:sz w:val="22"/>
          <w:szCs w:val="22"/>
        </w:rPr>
        <w:t>Activities Performed:</w:t>
      </w:r>
    </w:p>
    <w:p>
      <w:pPr>
        <w:pStyle w:val="ListParagraph"/>
        <w:numPr>
          <w:ilvl w:val="0"/>
          <w:numId w:val="1"/>
        </w:numPr>
        <w:spacing w:before="40" w:after="40"/>
        <w:rPr/>
      </w:pPr>
      <w:r>
        <w:rPr>
          <w:rFonts w:eastAsia="Arial" w:cs="Arial"/>
          <w:sz w:val="22"/>
          <w:szCs w:val="22"/>
        </w:rPr>
        <w:t>Conducted overall module review of New BP ERP.</w:t>
      </w:r>
    </w:p>
    <w:p>
      <w:pPr>
        <w:pStyle w:val="ListParagraph"/>
        <w:numPr>
          <w:ilvl w:val="0"/>
          <w:numId w:val="1"/>
        </w:numPr>
        <w:spacing w:before="40" w:after="40"/>
        <w:rPr/>
      </w:pPr>
      <w:r>
        <w:rPr>
          <w:rFonts w:eastAsia="Arial" w:cs="Arial"/>
          <w:sz w:val="22"/>
          <w:szCs w:val="22"/>
        </w:rPr>
        <w:t>Verified implemented functionalities across modules.</w:t>
      </w:r>
    </w:p>
    <w:p>
      <w:pPr>
        <w:pStyle w:val="ListParagraph"/>
        <w:numPr>
          <w:ilvl w:val="0"/>
          <w:numId w:val="1"/>
        </w:numPr>
        <w:spacing w:before="40" w:after="40"/>
        <w:rPr/>
      </w:pPr>
      <w:r>
        <w:rPr>
          <w:rFonts w:eastAsia="Arial" w:cs="Arial"/>
          <w:sz w:val="22"/>
          <w:szCs w:val="22"/>
        </w:rPr>
        <w:t>Identified improvement areas and documented observations.</w:t>
      </w:r>
    </w:p>
    <w:p>
      <w:pPr>
        <w:pStyle w:val="Normal"/>
        <w:spacing w:before="80" w:after="40"/>
        <w:rPr/>
      </w:pPr>
      <w:r>
        <w:rPr>
          <w:rFonts w:eastAsia="Arial" w:cs="Arial"/>
          <w:b/>
          <w:bCs/>
          <w:sz w:val="22"/>
          <w:szCs w:val="22"/>
        </w:rPr>
        <w:t xml:space="preserve">Outcome: </w:t>
      </w:r>
      <w:r>
        <w:rPr>
          <w:rFonts w:eastAsia="Arial" w:cs="Arial"/>
          <w:sz w:val="22"/>
          <w:szCs w:val="22"/>
        </w:rPr>
        <w:t>ERP review completed and observations shared with the team.</w:t>
      </w:r>
    </w:p>
    <w:p>
      <w:pPr>
        <w:pStyle w:val="Heading2"/>
        <w:spacing w:before="200" w:after="80"/>
        <w:rPr/>
      </w:pPr>
      <w:r>
        <w:rPr>
          <w:rFonts w:eastAsia="Arial" w:cs="Arial" w:ascii="Arial" w:hAnsi="Arial"/>
          <w:b/>
          <w:bCs/>
          <w:color w:val="2E75B6"/>
          <w:sz w:val="24"/>
          <w:szCs w:val="24"/>
        </w:rPr>
        <w:t>G</w:t>
      </w:r>
      <w:r>
        <w:rPr>
          <w:rFonts w:eastAsia="Arial" w:cs="Arial" w:ascii="Arial" w:hAnsi="Arial"/>
          <w:b/>
          <w:bCs/>
          <w:color w:val="2E75B6"/>
          <w:sz w:val="24"/>
          <w:szCs w:val="24"/>
        </w:rPr>
        <w:t>. New BP ERP Server Hosting Analysis</w:t>
      </w:r>
    </w:p>
    <w:p>
      <w:pPr>
        <w:pStyle w:val="Normal"/>
        <w:spacing w:before="60" w:after="60"/>
        <w:rPr/>
      </w:pPr>
      <w:r>
        <w:rPr>
          <w:rFonts w:eastAsia="Arial" w:cs="Arial"/>
          <w:b/>
          <w:bCs/>
          <w:sz w:val="22"/>
          <w:szCs w:val="22"/>
        </w:rPr>
        <w:t>Activities Performed:</w:t>
      </w:r>
    </w:p>
    <w:p>
      <w:pPr>
        <w:pStyle w:val="ListParagraph"/>
        <w:numPr>
          <w:ilvl w:val="0"/>
          <w:numId w:val="1"/>
        </w:numPr>
        <w:spacing w:before="40" w:after="40"/>
        <w:rPr/>
      </w:pPr>
      <w:r>
        <w:rPr>
          <w:rFonts w:eastAsia="Arial" w:cs="Arial"/>
          <w:sz w:val="22"/>
          <w:szCs w:val="22"/>
        </w:rPr>
        <w:t>Performed feasibility analysis for server hosting.</w:t>
      </w:r>
    </w:p>
    <w:p>
      <w:pPr>
        <w:pStyle w:val="ListParagraph"/>
        <w:numPr>
          <w:ilvl w:val="0"/>
          <w:numId w:val="1"/>
        </w:numPr>
        <w:spacing w:before="40" w:after="40"/>
        <w:rPr/>
      </w:pPr>
      <w:r>
        <w:rPr>
          <w:rFonts w:eastAsia="Arial" w:cs="Arial"/>
          <w:sz w:val="22"/>
          <w:szCs w:val="22"/>
        </w:rPr>
        <w:t>Evaluated deployment architecture and infrastructure requirements.</w:t>
      </w:r>
    </w:p>
    <w:p>
      <w:pPr>
        <w:pStyle w:val="ListParagraph"/>
        <w:numPr>
          <w:ilvl w:val="0"/>
          <w:numId w:val="1"/>
        </w:numPr>
        <w:spacing w:before="40" w:after="40"/>
        <w:rPr/>
      </w:pPr>
      <w:r>
        <w:rPr>
          <w:rFonts w:eastAsia="Arial" w:cs="Arial"/>
          <w:sz w:val="22"/>
          <w:szCs w:val="22"/>
        </w:rPr>
        <w:t>Planned deployment strategy and environment setup.</w:t>
      </w:r>
    </w:p>
    <w:p>
      <w:pPr>
        <w:pStyle w:val="Normal"/>
        <w:spacing w:before="80" w:after="40"/>
        <w:rPr/>
      </w:pPr>
      <w:r>
        <w:rPr>
          <w:rFonts w:eastAsia="Arial" w:cs="Arial"/>
          <w:b/>
          <w:bCs/>
          <w:sz w:val="22"/>
          <w:szCs w:val="22"/>
        </w:rPr>
        <w:t xml:space="preserve">Outcome: </w:t>
      </w:r>
      <w:r>
        <w:rPr>
          <w:rFonts w:eastAsia="Arial" w:cs="Arial"/>
          <w:sz w:val="22"/>
          <w:szCs w:val="22"/>
        </w:rPr>
        <w:t>Deployment feasibility analysis and planning completed.</w:t>
      </w:r>
    </w:p>
    <w:p>
      <w:pPr>
        <w:pStyle w:val="Heading1"/>
        <w:pBdr>
          <w:bottom w:val="single" w:sz="6" w:space="4" w:color="2E75B6"/>
        </w:pBdr>
        <w:spacing w:before="300" w:after="120"/>
        <w:rPr/>
      </w:pPr>
      <w:r>
        <w:rPr>
          <w:rFonts w:eastAsia="Arial" w:cs="Arial" w:ascii="Arial" w:hAnsi="Arial"/>
          <w:b/>
          <w:bCs/>
          <w:color w:val="1B4F8A"/>
          <w:sz w:val="28"/>
          <w:szCs w:val="28"/>
        </w:rPr>
        <w:t>3. Weekly Task Summary</w:t>
      </w:r>
    </w:p>
    <w:tbl>
      <w:tblPr>
        <w:tblW w:w="9360" w:type="dxa"/>
        <w:jc w:val="left"/>
        <w:tblInd w:w="0" w:type="dxa"/>
        <w:tblLayout w:type="fixed"/>
        <w:tblCellMar>
          <w:top w:w="100" w:type="dxa"/>
          <w:left w:w="120" w:type="dxa"/>
          <w:bottom w:w="100" w:type="dxa"/>
          <w:right w:w="120" w:type="dxa"/>
        </w:tblCellMar>
      </w:tblPr>
      <w:tblGrid>
        <w:gridCol w:w="599"/>
        <w:gridCol w:w="2001"/>
        <w:gridCol w:w="4759"/>
        <w:gridCol w:w="2000"/>
      </w:tblGrid>
      <w:tr>
        <w:trPr>
          <w:tblHeader w:val="true"/>
        </w:trPr>
        <w:tc>
          <w:tcPr>
            <w:tcW w:w="599" w:type="dxa"/>
            <w:tcBorders>
              <w:top w:val="single" w:sz="2" w:space="0" w:color="1B4F8A"/>
              <w:left w:val="single" w:sz="2" w:space="0" w:color="1B4F8A"/>
              <w:bottom w:val="single" w:sz="2" w:space="0" w:color="1B4F8A"/>
              <w:right w:val="single" w:sz="2" w:space="0" w:color="1B4F8A"/>
            </w:tcBorders>
            <w:shd w:fill="1B4F8A" w:val="clear"/>
            <w:vAlign w:val="center"/>
          </w:tcPr>
          <w:p>
            <w:pPr>
              <w:pStyle w:val="Normal"/>
              <w:jc w:val="center"/>
              <w:rPr/>
            </w:pPr>
            <w:r>
              <w:rPr>
                <w:rFonts w:eastAsia="Arial" w:cs="Arial"/>
                <w:b/>
                <w:bCs/>
                <w:color w:val="FFFFFF"/>
                <w:sz w:val="22"/>
                <w:szCs w:val="22"/>
              </w:rPr>
              <w:t>#</w:t>
            </w:r>
          </w:p>
        </w:tc>
        <w:tc>
          <w:tcPr>
            <w:tcW w:w="2001" w:type="dxa"/>
            <w:tcBorders>
              <w:top w:val="single" w:sz="2" w:space="0" w:color="1B4F8A"/>
              <w:left w:val="single" w:sz="2" w:space="0" w:color="1B4F8A"/>
              <w:bottom w:val="single" w:sz="2" w:space="0" w:color="1B4F8A"/>
              <w:right w:val="single" w:sz="2" w:space="0" w:color="1B4F8A"/>
            </w:tcBorders>
            <w:shd w:fill="1B4F8A" w:val="clear"/>
            <w:vAlign w:val="center"/>
          </w:tcPr>
          <w:p>
            <w:pPr>
              <w:pStyle w:val="Normal"/>
              <w:jc w:val="center"/>
              <w:rPr/>
            </w:pPr>
            <w:r>
              <w:rPr>
                <w:rFonts w:eastAsia="Arial" w:cs="Arial"/>
                <w:b/>
                <w:bCs/>
                <w:color w:val="FFFFFF"/>
                <w:sz w:val="22"/>
                <w:szCs w:val="22"/>
              </w:rPr>
              <w:t>Module</w:t>
            </w:r>
          </w:p>
        </w:tc>
        <w:tc>
          <w:tcPr>
            <w:tcW w:w="4759" w:type="dxa"/>
            <w:tcBorders>
              <w:top w:val="single" w:sz="2" w:space="0" w:color="1B4F8A"/>
              <w:left w:val="single" w:sz="2" w:space="0" w:color="1B4F8A"/>
              <w:bottom w:val="single" w:sz="2" w:space="0" w:color="1B4F8A"/>
              <w:right w:val="single" w:sz="2" w:space="0" w:color="1B4F8A"/>
            </w:tcBorders>
            <w:shd w:fill="1B4F8A" w:val="clear"/>
            <w:vAlign w:val="center"/>
          </w:tcPr>
          <w:p>
            <w:pPr>
              <w:pStyle w:val="Normal"/>
              <w:jc w:val="center"/>
              <w:rPr/>
            </w:pPr>
            <w:r>
              <w:rPr>
                <w:rFonts w:eastAsia="Arial" w:cs="Arial"/>
                <w:b/>
                <w:bCs/>
                <w:color w:val="FFFFFF"/>
                <w:sz w:val="22"/>
                <w:szCs w:val="22"/>
              </w:rPr>
              <w:t>Task</w:t>
            </w:r>
          </w:p>
        </w:tc>
        <w:tc>
          <w:tcPr>
            <w:tcW w:w="2000" w:type="dxa"/>
            <w:tcBorders>
              <w:top w:val="single" w:sz="2" w:space="0" w:color="1B4F8A"/>
              <w:left w:val="single" w:sz="2" w:space="0" w:color="1B4F8A"/>
              <w:bottom w:val="single" w:sz="2" w:space="0" w:color="1B4F8A"/>
              <w:right w:val="single" w:sz="2" w:space="0" w:color="1B4F8A"/>
            </w:tcBorders>
            <w:shd w:fill="1B4F8A" w:val="clear"/>
            <w:vAlign w:val="center"/>
          </w:tcPr>
          <w:p>
            <w:pPr>
              <w:pStyle w:val="Normal"/>
              <w:jc w:val="center"/>
              <w:rPr/>
            </w:pPr>
            <w:r>
              <w:rPr>
                <w:rFonts w:eastAsia="Arial" w:cs="Arial"/>
                <w:b/>
                <w:bCs/>
                <w:color w:val="FFFFFF"/>
                <w:sz w:val="22"/>
                <w:szCs w:val="22"/>
              </w:rPr>
              <w:t>Status</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2"/>
                <w:szCs w:val="22"/>
              </w:rPr>
              <w:t>1</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000000"/>
                <w:sz w:val="22"/>
                <w:szCs w:val="22"/>
              </w:rPr>
              <w:t>ESG Module</w:t>
            </w:r>
          </w:p>
        </w:tc>
        <w:tc>
          <w:tcPr>
            <w:tcW w:w="47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000000"/>
                <w:sz w:val="22"/>
                <w:szCs w:val="22"/>
              </w:rPr>
              <w:t>ESG Compliance Register Development</w:t>
            </w:r>
          </w:p>
        </w:tc>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1D7A3A"/>
                <w:sz w:val="22"/>
                <w:szCs w:val="22"/>
              </w:rPr>
              <w:t>Completed</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center"/>
              <w:rPr/>
            </w:pPr>
            <w:r>
              <w:rPr>
                <w:rFonts w:eastAsia="Arial" w:cs="Arial"/>
                <w:b w:val="false"/>
                <w:bCs w:val="false"/>
                <w:color w:val="000000"/>
                <w:sz w:val="22"/>
                <w:szCs w:val="22"/>
              </w:rPr>
              <w:t>2</w:t>
            </w:r>
          </w:p>
        </w:tc>
        <w:tc>
          <w:tcPr>
            <w:tcW w:w="2001"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left"/>
              <w:rPr/>
            </w:pPr>
            <w:r>
              <w:rPr>
                <w:rFonts w:eastAsia="Arial" w:cs="Arial"/>
                <w:b w:val="false"/>
                <w:bCs w:val="false"/>
                <w:color w:val="000000"/>
                <w:sz w:val="22"/>
                <w:szCs w:val="22"/>
              </w:rPr>
              <w:t>ESG Module</w:t>
            </w:r>
          </w:p>
        </w:tc>
        <w:tc>
          <w:tcPr>
            <w:tcW w:w="4759"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left"/>
              <w:rPr/>
            </w:pPr>
            <w:r>
              <w:rPr>
                <w:rFonts w:eastAsia="Arial" w:cs="Arial"/>
                <w:b w:val="false"/>
                <w:bCs w:val="false"/>
                <w:color w:val="000000"/>
                <w:sz w:val="22"/>
                <w:szCs w:val="22"/>
              </w:rPr>
              <w:t>ESG Insurance Register Development</w:t>
            </w:r>
          </w:p>
        </w:tc>
        <w:tc>
          <w:tcPr>
            <w:tcW w:w="2000"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center"/>
              <w:rPr/>
            </w:pPr>
            <w:r>
              <w:rPr>
                <w:rFonts w:eastAsia="Arial" w:cs="Arial"/>
                <w:b/>
                <w:bCs/>
                <w:color w:val="1D7A3A"/>
                <w:sz w:val="22"/>
                <w:szCs w:val="22"/>
              </w:rPr>
              <w:t>Completed</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2"/>
                <w:szCs w:val="22"/>
              </w:rPr>
              <w:t>3</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000000"/>
                <w:sz w:val="22"/>
                <w:szCs w:val="22"/>
              </w:rPr>
              <w:t>ESG Module</w:t>
            </w:r>
          </w:p>
        </w:tc>
        <w:tc>
          <w:tcPr>
            <w:tcW w:w="47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000000"/>
                <w:sz w:val="22"/>
                <w:szCs w:val="22"/>
              </w:rPr>
              <w:t>ESG Form Corrections &amp; Enhancements</w:t>
            </w:r>
          </w:p>
        </w:tc>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1D7A3A"/>
                <w:sz w:val="22"/>
                <w:szCs w:val="22"/>
              </w:rPr>
              <w:t>Completed</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center"/>
              <w:rPr/>
            </w:pPr>
            <w:r>
              <w:rPr>
                <w:rFonts w:eastAsia="Arial" w:cs="Arial"/>
                <w:b w:val="false"/>
                <w:bCs w:val="false"/>
                <w:color w:val="000000"/>
                <w:sz w:val="22"/>
                <w:szCs w:val="22"/>
              </w:rPr>
              <w:t>4</w:t>
            </w:r>
          </w:p>
        </w:tc>
        <w:tc>
          <w:tcPr>
            <w:tcW w:w="2001"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left"/>
              <w:rPr/>
            </w:pPr>
            <w:r>
              <w:rPr>
                <w:rFonts w:eastAsia="Arial" w:cs="Arial"/>
                <w:b w:val="false"/>
                <w:bCs w:val="false"/>
                <w:color w:val="000000"/>
                <w:sz w:val="22"/>
                <w:szCs w:val="22"/>
              </w:rPr>
              <w:t>Procurement Module</w:t>
            </w:r>
          </w:p>
        </w:tc>
        <w:tc>
          <w:tcPr>
            <w:tcW w:w="4759"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left"/>
              <w:rPr/>
            </w:pPr>
            <w:r>
              <w:rPr>
                <w:rFonts w:eastAsia="Arial" w:cs="Arial"/>
                <w:b w:val="false"/>
                <w:bCs w:val="false"/>
                <w:color w:val="000000"/>
                <w:sz w:val="22"/>
                <w:szCs w:val="22"/>
              </w:rPr>
              <w:t>Rate Order Corrections</w:t>
            </w:r>
          </w:p>
        </w:tc>
        <w:tc>
          <w:tcPr>
            <w:tcW w:w="2000"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center"/>
              <w:rPr/>
            </w:pPr>
            <w:r>
              <w:rPr>
                <w:rFonts w:eastAsia="Arial" w:cs="Arial"/>
                <w:b/>
                <w:bCs/>
                <w:color w:val="1D7A3A"/>
                <w:sz w:val="22"/>
                <w:szCs w:val="22"/>
              </w:rPr>
              <w:t>Completed</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2"/>
                <w:szCs w:val="22"/>
              </w:rPr>
              <w:t>5</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000000"/>
                <w:sz w:val="22"/>
                <w:szCs w:val="22"/>
              </w:rPr>
              <w:t>Sales Module</w:t>
            </w:r>
          </w:p>
        </w:tc>
        <w:tc>
          <w:tcPr>
            <w:tcW w:w="47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000000"/>
                <w:sz w:val="22"/>
                <w:szCs w:val="22"/>
              </w:rPr>
              <w:t>Form Enhancements &amp; Corrections</w:t>
            </w:r>
          </w:p>
        </w:tc>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1D7A3A"/>
                <w:sz w:val="22"/>
                <w:szCs w:val="22"/>
              </w:rPr>
              <w:t>Completed</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center"/>
              <w:rPr/>
            </w:pPr>
            <w:r>
              <w:rPr>
                <w:rFonts w:eastAsia="Arial" w:cs="Arial"/>
                <w:b w:val="false"/>
                <w:bCs w:val="false"/>
                <w:color w:val="000000"/>
                <w:sz w:val="22"/>
                <w:szCs w:val="22"/>
              </w:rPr>
              <w:t>6</w:t>
            </w:r>
          </w:p>
        </w:tc>
        <w:tc>
          <w:tcPr>
            <w:tcW w:w="2001"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left"/>
              <w:rPr/>
            </w:pPr>
            <w:r>
              <w:rPr>
                <w:rFonts w:eastAsia="Arial" w:cs="Arial"/>
                <w:b w:val="false"/>
                <w:bCs w:val="false"/>
                <w:color w:val="000000"/>
                <w:sz w:val="22"/>
                <w:szCs w:val="22"/>
              </w:rPr>
              <w:t>Dashboard</w:t>
            </w:r>
          </w:p>
        </w:tc>
        <w:tc>
          <w:tcPr>
            <w:tcW w:w="4759"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left"/>
              <w:rPr/>
            </w:pPr>
            <w:r>
              <w:rPr>
                <w:rFonts w:eastAsia="Arial" w:cs="Arial"/>
                <w:b w:val="false"/>
                <w:bCs w:val="false"/>
                <w:color w:val="000000"/>
                <w:sz w:val="22"/>
                <w:szCs w:val="22"/>
              </w:rPr>
              <w:t>Compliance Dashboard Support</w:t>
            </w:r>
          </w:p>
        </w:tc>
        <w:tc>
          <w:tcPr>
            <w:tcW w:w="2000"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center"/>
              <w:rPr/>
            </w:pPr>
            <w:r>
              <w:rPr>
                <w:rFonts w:eastAsia="Arial" w:cs="Arial"/>
                <w:b/>
                <w:bCs/>
                <w:color w:val="1D7A3A"/>
                <w:sz w:val="22"/>
                <w:szCs w:val="22"/>
              </w:rPr>
              <w:t>Completed</w:t>
            </w:r>
          </w:p>
        </w:tc>
      </w:tr>
      <w:tr>
        <w:trPr/>
        <w:tc>
          <w:tcPr>
            <w:tcW w:w="5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val="false"/>
                <w:bCs w:val="false"/>
                <w:color w:val="000000"/>
                <w:sz w:val="22"/>
                <w:szCs w:val="22"/>
              </w:rPr>
              <w:t>7</w:t>
            </w:r>
          </w:p>
        </w:tc>
        <w:tc>
          <w:tcPr>
            <w:tcW w:w="20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000000"/>
                <w:sz w:val="22"/>
                <w:szCs w:val="22"/>
              </w:rPr>
              <w:t>All Modules</w:t>
            </w:r>
          </w:p>
        </w:tc>
        <w:tc>
          <w:tcPr>
            <w:tcW w:w="475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left"/>
              <w:rPr/>
            </w:pPr>
            <w:r>
              <w:rPr>
                <w:rFonts w:eastAsia="Arial" w:cs="Arial"/>
                <w:b w:val="false"/>
                <w:bCs w:val="false"/>
                <w:color w:val="000000"/>
                <w:sz w:val="22"/>
                <w:szCs w:val="22"/>
              </w:rPr>
              <w:t>New BP ERP Review &amp; Verification</w:t>
            </w:r>
          </w:p>
        </w:tc>
        <w:tc>
          <w:tcPr>
            <w:tcW w:w="2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vAlign w:val="center"/>
          </w:tcPr>
          <w:p>
            <w:pPr>
              <w:pStyle w:val="Normal"/>
              <w:jc w:val="center"/>
              <w:rPr/>
            </w:pPr>
            <w:r>
              <w:rPr>
                <w:rFonts w:eastAsia="Arial" w:cs="Arial"/>
                <w:b/>
                <w:bCs/>
                <w:color w:val="1D7A3A"/>
                <w:sz w:val="22"/>
                <w:szCs w:val="22"/>
              </w:rPr>
              <w:t>Completed</w:t>
            </w:r>
          </w:p>
        </w:tc>
      </w:tr>
      <w:tr>
        <w:trPr/>
        <w:tc>
          <w:tcPr>
            <w:tcW w:w="599"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center"/>
              <w:rPr/>
            </w:pPr>
            <w:r>
              <w:rPr>
                <w:rFonts w:eastAsia="Arial" w:cs="Arial"/>
                <w:b w:val="false"/>
                <w:bCs w:val="false"/>
                <w:color w:val="000000"/>
                <w:sz w:val="22"/>
                <w:szCs w:val="22"/>
              </w:rPr>
              <w:t>8</w:t>
            </w:r>
          </w:p>
        </w:tc>
        <w:tc>
          <w:tcPr>
            <w:tcW w:w="2001"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left"/>
              <w:rPr/>
            </w:pPr>
            <w:r>
              <w:rPr>
                <w:rFonts w:eastAsia="Arial" w:cs="Arial"/>
                <w:b w:val="false"/>
                <w:bCs w:val="false"/>
                <w:color w:val="000000"/>
                <w:sz w:val="22"/>
                <w:szCs w:val="22"/>
              </w:rPr>
              <w:t>Infrastructure</w:t>
            </w:r>
          </w:p>
        </w:tc>
        <w:tc>
          <w:tcPr>
            <w:tcW w:w="4759"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left"/>
              <w:rPr/>
            </w:pPr>
            <w:r>
              <w:rPr>
                <w:rFonts w:eastAsia="Arial" w:cs="Arial"/>
                <w:b w:val="false"/>
                <w:bCs w:val="false"/>
                <w:color w:val="000000"/>
                <w:sz w:val="22"/>
                <w:szCs w:val="22"/>
              </w:rPr>
              <w:t>Server Hosting Feasibility Analysis &amp; Deployment Planning</w:t>
            </w:r>
          </w:p>
        </w:tc>
        <w:tc>
          <w:tcPr>
            <w:tcW w:w="2000"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vAlign w:val="center"/>
          </w:tcPr>
          <w:p>
            <w:pPr>
              <w:pStyle w:val="Normal"/>
              <w:jc w:val="center"/>
              <w:rPr/>
            </w:pPr>
            <w:r>
              <w:rPr>
                <w:rFonts w:eastAsia="Arial" w:cs="Arial"/>
                <w:b/>
                <w:bCs/>
                <w:color w:val="1D7A3A"/>
                <w:sz w:val="22"/>
                <w:szCs w:val="22"/>
              </w:rPr>
              <w:t>Completed</w:t>
            </w:r>
          </w:p>
        </w:tc>
      </w:tr>
    </w:tbl>
    <w:p>
      <w:pPr>
        <w:pStyle w:val="Normal"/>
        <w:spacing w:before="160" w:after="0"/>
        <w:rPr/>
      </w:pPr>
      <w:r>
        <w:rPr/>
      </w:r>
    </w:p>
    <w:p>
      <w:pPr>
        <w:pStyle w:val="Heading1"/>
        <w:pBdr>
          <w:bottom w:val="single" w:sz="6" w:space="4" w:color="2E75B6"/>
        </w:pBdr>
        <w:spacing w:before="300" w:after="120"/>
        <w:rPr/>
      </w:pPr>
      <w:r>
        <w:rPr>
          <w:rFonts w:eastAsia="Arial" w:cs="Arial" w:ascii="Arial" w:hAnsi="Arial"/>
          <w:b/>
          <w:bCs/>
          <w:color w:val="1B4F8A"/>
          <w:sz w:val="28"/>
          <w:szCs w:val="28"/>
        </w:rPr>
        <w:t>4. Overall Contribution Summary</w:t>
      </w:r>
    </w:p>
    <w:p>
      <w:pPr>
        <w:pStyle w:val="ListParagraph"/>
        <w:numPr>
          <w:ilvl w:val="0"/>
          <w:numId w:val="1"/>
        </w:numPr>
        <w:spacing w:before="40" w:after="40"/>
        <w:rPr/>
      </w:pPr>
      <w:r>
        <w:rPr>
          <w:rFonts w:eastAsia="Arial" w:cs="Arial"/>
          <w:sz w:val="22"/>
          <w:szCs w:val="22"/>
        </w:rPr>
        <w:t>Developed ESG Compliance Register module with frontend and backend implementation.</w:t>
      </w:r>
    </w:p>
    <w:p>
      <w:pPr>
        <w:pStyle w:val="ListParagraph"/>
        <w:numPr>
          <w:ilvl w:val="0"/>
          <w:numId w:val="1"/>
        </w:numPr>
        <w:spacing w:before="40" w:after="40"/>
        <w:rPr/>
      </w:pPr>
      <w:r>
        <w:rPr>
          <w:rFonts w:eastAsia="Arial" w:cs="Arial"/>
          <w:sz w:val="22"/>
          <w:szCs w:val="22"/>
        </w:rPr>
        <w:t>Delivered ESG Insurance Register form and list functionalities.</w:t>
      </w:r>
    </w:p>
    <w:p>
      <w:pPr>
        <w:pStyle w:val="ListParagraph"/>
        <w:numPr>
          <w:ilvl w:val="0"/>
          <w:numId w:val="1"/>
        </w:numPr>
        <w:spacing w:before="40" w:after="40"/>
        <w:rPr/>
      </w:pPr>
      <w:r>
        <w:rPr>
          <w:rFonts w:eastAsia="Arial" w:cs="Arial"/>
          <w:sz w:val="22"/>
          <w:szCs w:val="22"/>
        </w:rPr>
        <w:t>Completed ESG renewal and review-related enhancements.</w:t>
      </w:r>
    </w:p>
    <w:p>
      <w:pPr>
        <w:pStyle w:val="ListParagraph"/>
        <w:numPr>
          <w:ilvl w:val="0"/>
          <w:numId w:val="1"/>
        </w:numPr>
        <w:spacing w:before="40" w:after="40"/>
        <w:rPr/>
      </w:pPr>
      <w:r>
        <w:rPr>
          <w:rFonts w:eastAsia="Arial" w:cs="Arial"/>
          <w:sz w:val="22"/>
          <w:szCs w:val="22"/>
        </w:rPr>
        <w:t>Performed procurement and sales module corrections.</w:t>
      </w:r>
    </w:p>
    <w:p>
      <w:pPr>
        <w:pStyle w:val="ListParagraph"/>
        <w:numPr>
          <w:ilvl w:val="0"/>
          <w:numId w:val="1"/>
        </w:numPr>
        <w:spacing w:before="40" w:after="40"/>
        <w:rPr/>
      </w:pPr>
      <w:r>
        <w:rPr>
          <w:rFonts w:eastAsia="Arial" w:cs="Arial"/>
          <w:sz w:val="22"/>
          <w:szCs w:val="22"/>
        </w:rPr>
        <w:t>Provided support for Compliance Dashboard implementation.</w:t>
      </w:r>
    </w:p>
    <w:p>
      <w:pPr>
        <w:pStyle w:val="ListParagraph"/>
        <w:numPr>
          <w:ilvl w:val="0"/>
          <w:numId w:val="1"/>
        </w:numPr>
        <w:spacing w:before="40" w:after="40"/>
        <w:rPr/>
      </w:pPr>
      <w:r>
        <w:rPr>
          <w:rFonts w:eastAsia="Arial" w:cs="Arial"/>
          <w:sz w:val="22"/>
          <w:szCs w:val="22"/>
        </w:rPr>
        <w:t>Conducted New BP ERP review and verification activities.</w:t>
      </w:r>
    </w:p>
    <w:p>
      <w:pPr>
        <w:pStyle w:val="ListParagraph"/>
        <w:numPr>
          <w:ilvl w:val="0"/>
          <w:numId w:val="1"/>
        </w:numPr>
        <w:spacing w:before="40" w:after="40"/>
        <w:rPr/>
      </w:pPr>
      <w:r>
        <w:rPr>
          <w:rFonts w:eastAsia="Arial" w:cs="Arial"/>
          <w:sz w:val="22"/>
          <w:szCs w:val="22"/>
        </w:rPr>
        <w:t>Completed server hosting feasibility analysis and deployment planning.</w:t>
      </w:r>
    </w:p>
    <w:p>
      <w:pPr>
        <w:pStyle w:val="Heading1"/>
        <w:pBdr>
          <w:bottom w:val="single" w:sz="6" w:space="4" w:color="2E75B6"/>
        </w:pBdr>
        <w:spacing w:before="300" w:after="120"/>
        <w:rPr/>
      </w:pPr>
      <w:r>
        <w:rPr>
          <w:rFonts w:eastAsia="Arial" w:cs="Arial" w:ascii="Arial" w:hAnsi="Arial"/>
          <w:b/>
          <w:bCs/>
          <w:color w:val="1B4F8A"/>
          <w:sz w:val="28"/>
          <w:szCs w:val="28"/>
        </w:rPr>
        <w:t>5. Planned for Next Week</w:t>
      </w:r>
    </w:p>
    <w:p>
      <w:pPr>
        <w:pStyle w:val="Heading2"/>
        <w:spacing w:before="200" w:after="80"/>
        <w:rPr/>
      </w:pPr>
      <w:r>
        <w:rPr>
          <w:rFonts w:eastAsia="Arial" w:cs="Arial" w:ascii="Arial" w:hAnsi="Arial"/>
          <w:b/>
          <w:bCs/>
          <w:color w:val="2E75B6"/>
          <w:sz w:val="24"/>
          <w:szCs w:val="24"/>
        </w:rPr>
        <w:t>Procurement Module Enhancements</w:t>
      </w:r>
    </w:p>
    <w:p>
      <w:pPr>
        <w:pStyle w:val="ListParagraph"/>
        <w:numPr>
          <w:ilvl w:val="0"/>
          <w:numId w:val="1"/>
        </w:numPr>
        <w:spacing w:before="40" w:after="40"/>
        <w:rPr/>
      </w:pPr>
      <w:r>
        <w:rPr>
          <w:rFonts w:eastAsia="Arial" w:cs="Arial"/>
          <w:sz w:val="22"/>
          <w:szCs w:val="22"/>
        </w:rPr>
        <w:t>Rate Order improvements.</w:t>
      </w:r>
    </w:p>
    <w:p>
      <w:pPr>
        <w:pStyle w:val="ListParagraph"/>
        <w:numPr>
          <w:ilvl w:val="0"/>
          <w:numId w:val="1"/>
        </w:numPr>
        <w:spacing w:before="40" w:after="40"/>
        <w:rPr/>
      </w:pPr>
      <w:r>
        <w:rPr>
          <w:rFonts w:eastAsia="Arial" w:cs="Arial"/>
          <w:sz w:val="22"/>
          <w:szCs w:val="22"/>
        </w:rPr>
        <w:t>Standard BOM corrections.</w:t>
      </w:r>
    </w:p>
    <w:p>
      <w:pPr>
        <w:pStyle w:val="ListParagraph"/>
        <w:numPr>
          <w:ilvl w:val="0"/>
          <w:numId w:val="1"/>
        </w:numPr>
        <w:spacing w:before="40" w:after="40"/>
        <w:rPr/>
      </w:pPr>
      <w:r>
        <w:rPr>
          <w:rFonts w:eastAsia="Arial" w:cs="Arial"/>
          <w:sz w:val="22"/>
          <w:szCs w:val="22"/>
        </w:rPr>
        <w:t>Ordered BOM field enhancement implementation.</w:t>
      </w:r>
    </w:p>
    <w:p>
      <w:pPr>
        <w:pStyle w:val="ListParagraph"/>
        <w:numPr>
          <w:ilvl w:val="0"/>
          <w:numId w:val="1"/>
        </w:numPr>
        <w:spacing w:before="40" w:after="40"/>
        <w:rPr/>
      </w:pPr>
      <w:r>
        <w:rPr>
          <w:rFonts w:eastAsia="Arial" w:cs="Arial"/>
          <w:sz w:val="22"/>
          <w:szCs w:val="22"/>
        </w:rPr>
        <w:t>Category Creation item code generation.</w:t>
      </w:r>
    </w:p>
    <w:p>
      <w:pPr>
        <w:pStyle w:val="Heading2"/>
        <w:spacing w:before="200" w:after="80"/>
        <w:rPr/>
      </w:pPr>
      <w:r>
        <w:rPr>
          <w:rFonts w:eastAsia="Arial" w:cs="Arial" w:ascii="Arial" w:hAnsi="Arial"/>
          <w:b/>
          <w:bCs/>
          <w:color w:val="2E75B6"/>
          <w:sz w:val="24"/>
          <w:szCs w:val="24"/>
        </w:rPr>
        <w:t>Item Master Development</w:t>
      </w:r>
    </w:p>
    <w:p>
      <w:pPr>
        <w:pStyle w:val="ListParagraph"/>
        <w:numPr>
          <w:ilvl w:val="0"/>
          <w:numId w:val="1"/>
        </w:numPr>
        <w:spacing w:before="40" w:after="40"/>
        <w:rPr/>
      </w:pPr>
      <w:r>
        <w:rPr>
          <w:rFonts w:eastAsia="Arial" w:cs="Arial"/>
          <w:sz w:val="22"/>
          <w:szCs w:val="22"/>
        </w:rPr>
        <w:t>Diesel Item configuration.</w:t>
      </w:r>
    </w:p>
    <w:p>
      <w:pPr>
        <w:pStyle w:val="ListParagraph"/>
        <w:numPr>
          <w:ilvl w:val="0"/>
          <w:numId w:val="1"/>
        </w:numPr>
        <w:spacing w:before="40" w:after="40"/>
        <w:rPr/>
      </w:pPr>
      <w:r>
        <w:rPr>
          <w:rFonts w:eastAsia="Arial" w:cs="Arial"/>
          <w:sz w:val="22"/>
          <w:szCs w:val="22"/>
        </w:rPr>
        <w:t>Import/Export functionality.</w:t>
      </w:r>
    </w:p>
    <w:p>
      <w:pPr>
        <w:pStyle w:val="ListParagraph"/>
        <w:numPr>
          <w:ilvl w:val="0"/>
          <w:numId w:val="1"/>
        </w:numPr>
        <w:spacing w:before="40" w:after="40"/>
        <w:rPr/>
      </w:pPr>
      <w:r>
        <w:rPr>
          <w:rFonts w:eastAsia="Arial" w:cs="Arial"/>
          <w:sz w:val="22"/>
          <w:szCs w:val="22"/>
        </w:rPr>
        <w:t>Item Summary enhancements.</w:t>
      </w:r>
    </w:p>
    <w:p>
      <w:pPr>
        <w:pStyle w:val="ListParagraph"/>
        <w:numPr>
          <w:ilvl w:val="0"/>
          <w:numId w:val="1"/>
        </w:numPr>
        <w:spacing w:before="40" w:after="40"/>
        <w:rPr/>
      </w:pPr>
      <w:r>
        <w:rPr>
          <w:rFonts w:eastAsia="Arial" w:cs="Arial"/>
          <w:sz w:val="22"/>
          <w:szCs w:val="22"/>
        </w:rPr>
        <w:t>Item Code generation improvements.</w:t>
      </w:r>
    </w:p>
    <w:p>
      <w:pPr>
        <w:pStyle w:val="Heading2"/>
        <w:spacing w:before="200" w:after="80"/>
        <w:rPr/>
      </w:pPr>
      <w:r>
        <w:rPr>
          <w:rFonts w:eastAsia="Arial" w:cs="Arial" w:ascii="Arial" w:hAnsi="Arial"/>
          <w:b/>
          <w:bCs/>
          <w:color w:val="2E75B6"/>
          <w:sz w:val="24"/>
          <w:szCs w:val="24"/>
        </w:rPr>
        <w:t>ERP Review &amp; Deployment</w:t>
      </w:r>
    </w:p>
    <w:p>
      <w:pPr>
        <w:pStyle w:val="ListParagraph"/>
        <w:numPr>
          <w:ilvl w:val="0"/>
          <w:numId w:val="1"/>
        </w:numPr>
        <w:spacing w:before="40" w:after="40"/>
        <w:rPr/>
      </w:pPr>
      <w:r>
        <w:rPr>
          <w:rFonts w:eastAsia="Arial" w:cs="Arial"/>
          <w:sz w:val="22"/>
          <w:szCs w:val="22"/>
        </w:rPr>
        <w:t>Deployment preparation activities.</w:t>
      </w:r>
    </w:p>
    <w:p>
      <w:pPr>
        <w:pStyle w:val="ListParagraph"/>
        <w:numPr>
          <w:ilvl w:val="0"/>
          <w:numId w:val="1"/>
        </w:numPr>
        <w:spacing w:before="40" w:after="40"/>
        <w:rPr/>
      </w:pPr>
      <w:r>
        <w:rPr>
          <w:rFonts w:eastAsia="Arial" w:cs="Arial"/>
          <w:sz w:val="22"/>
          <w:szCs w:val="22"/>
        </w:rPr>
        <w:t>UAT support and issue resolution.</w:t>
      </w:r>
    </w:p>
    <w:p>
      <w:pPr>
        <w:pStyle w:val="Heading1"/>
        <w:pBdr>
          <w:bottom w:val="single" w:sz="6" w:space="4" w:color="2E75B6"/>
        </w:pBdr>
        <w:spacing w:before="300" w:after="120"/>
        <w:rPr/>
      </w:pPr>
      <w:r>
        <w:rPr>
          <w:rFonts w:eastAsia="Arial" w:cs="Arial" w:ascii="Arial" w:hAnsi="Arial"/>
          <w:b/>
          <w:bCs/>
          <w:color w:val="1B4F8A"/>
          <w:sz w:val="28"/>
          <w:szCs w:val="28"/>
        </w:rPr>
        <w:t>6. Expected Milestones for Next Week</w:t>
      </w:r>
    </w:p>
    <w:tbl>
      <w:tblPr>
        <w:tblW w:w="9360" w:type="dxa"/>
        <w:jc w:val="left"/>
        <w:tblInd w:w="0" w:type="dxa"/>
        <w:tblLayout w:type="fixed"/>
        <w:tblCellMar>
          <w:top w:w="100" w:type="dxa"/>
          <w:left w:w="120" w:type="dxa"/>
          <w:bottom w:w="100" w:type="dxa"/>
          <w:right w:w="120" w:type="dxa"/>
        </w:tblCellMar>
      </w:tblPr>
      <w:tblGrid>
        <w:gridCol w:w="4680"/>
        <w:gridCol w:w="2340"/>
        <w:gridCol w:w="2340"/>
      </w:tblGrid>
      <w:tr>
        <w:trPr>
          <w:tblHeader w:val="true"/>
        </w:trPr>
        <w:tc>
          <w:tcPr>
            <w:tcW w:w="4680" w:type="dxa"/>
            <w:tcBorders>
              <w:top w:val="single" w:sz="2" w:space="0" w:color="1B4F8A"/>
              <w:left w:val="single" w:sz="2" w:space="0" w:color="1B4F8A"/>
              <w:bottom w:val="single" w:sz="2" w:space="0" w:color="1B4F8A"/>
              <w:right w:val="single" w:sz="2" w:space="0" w:color="1B4F8A"/>
            </w:tcBorders>
            <w:shd w:fill="1B4F8A" w:val="clear"/>
          </w:tcPr>
          <w:p>
            <w:pPr>
              <w:pStyle w:val="Normal"/>
              <w:jc w:val="center"/>
              <w:rPr/>
            </w:pPr>
            <w:r>
              <w:rPr>
                <w:rFonts w:eastAsia="Arial" w:cs="Arial"/>
                <w:b/>
                <w:bCs/>
                <w:color w:val="FFFFFF"/>
                <w:sz w:val="22"/>
                <w:szCs w:val="22"/>
              </w:rPr>
              <w:t>Task</w:t>
            </w:r>
          </w:p>
        </w:tc>
        <w:tc>
          <w:tcPr>
            <w:tcW w:w="2340" w:type="dxa"/>
            <w:tcBorders>
              <w:top w:val="single" w:sz="2" w:space="0" w:color="1B4F8A"/>
              <w:left w:val="single" w:sz="2" w:space="0" w:color="1B4F8A"/>
              <w:bottom w:val="single" w:sz="2" w:space="0" w:color="1B4F8A"/>
              <w:right w:val="single" w:sz="2" w:space="0" w:color="1B4F8A"/>
            </w:tcBorders>
            <w:shd w:fill="1B4F8A" w:val="clear"/>
          </w:tcPr>
          <w:p>
            <w:pPr>
              <w:pStyle w:val="Normal"/>
              <w:jc w:val="center"/>
              <w:rPr/>
            </w:pPr>
            <w:r>
              <w:rPr>
                <w:rFonts w:eastAsia="Arial" w:cs="Arial"/>
                <w:b/>
                <w:bCs/>
                <w:color w:val="FFFFFF"/>
                <w:sz w:val="22"/>
                <w:szCs w:val="22"/>
              </w:rPr>
              <w:t>Owner</w:t>
            </w:r>
          </w:p>
        </w:tc>
        <w:tc>
          <w:tcPr>
            <w:tcW w:w="2340" w:type="dxa"/>
            <w:tcBorders>
              <w:top w:val="single" w:sz="2" w:space="0" w:color="1B4F8A"/>
              <w:left w:val="single" w:sz="2" w:space="0" w:color="1B4F8A"/>
              <w:bottom w:val="single" w:sz="2" w:space="0" w:color="1B4F8A"/>
              <w:right w:val="single" w:sz="2" w:space="0" w:color="1B4F8A"/>
            </w:tcBorders>
            <w:shd w:fill="1B4F8A" w:val="clear"/>
          </w:tcPr>
          <w:p>
            <w:pPr>
              <w:pStyle w:val="Normal"/>
              <w:jc w:val="center"/>
              <w:rPr/>
            </w:pPr>
            <w:r>
              <w:rPr>
                <w:rFonts w:eastAsia="Arial" w:cs="Arial"/>
                <w:b/>
                <w:bCs/>
                <w:color w:val="FFFFFF"/>
                <w:sz w:val="22"/>
                <w:szCs w:val="22"/>
              </w:rPr>
              <w:t>Target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2"/>
                <w:szCs w:val="22"/>
              </w:rPr>
              <w:t>Rate Order Enhancements</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2"/>
                <w:szCs w:val="22"/>
              </w:rPr>
              <w:t>Monika P</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bCs/>
                <w:color w:val="B8860B"/>
                <w:sz w:val="22"/>
                <w:szCs w:val="22"/>
              </w:rPr>
              <w:t>To Start</w:t>
            </w:r>
          </w:p>
        </w:tc>
      </w:tr>
      <w:tr>
        <w:trPr/>
        <w:tc>
          <w:tcPr>
            <w:tcW w:w="4680"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tcPr>
          <w:p>
            <w:pPr>
              <w:pStyle w:val="Normal"/>
              <w:jc w:val="left"/>
              <w:rPr/>
            </w:pPr>
            <w:r>
              <w:rPr>
                <w:rFonts w:eastAsia="Arial" w:cs="Arial"/>
                <w:b w:val="false"/>
                <w:bCs w:val="false"/>
                <w:color w:val="000000"/>
                <w:sz w:val="22"/>
                <w:szCs w:val="22"/>
              </w:rPr>
              <w:t>Standard BOM Corrections</w:t>
            </w:r>
          </w:p>
        </w:tc>
        <w:tc>
          <w:tcPr>
            <w:tcW w:w="2340"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tcPr>
          <w:p>
            <w:pPr>
              <w:pStyle w:val="Normal"/>
              <w:jc w:val="left"/>
              <w:rPr/>
            </w:pPr>
            <w:r>
              <w:rPr>
                <w:rFonts w:eastAsia="Arial" w:cs="Arial"/>
                <w:b w:val="false"/>
                <w:bCs w:val="false"/>
                <w:color w:val="000000"/>
                <w:sz w:val="22"/>
                <w:szCs w:val="22"/>
              </w:rPr>
              <w:t>Monika P</w:t>
            </w:r>
          </w:p>
        </w:tc>
        <w:tc>
          <w:tcPr>
            <w:tcW w:w="2340"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tcPr>
          <w:p>
            <w:pPr>
              <w:pStyle w:val="Normal"/>
              <w:jc w:val="center"/>
              <w:rPr/>
            </w:pPr>
            <w:r>
              <w:rPr>
                <w:rFonts w:eastAsia="Arial" w:cs="Arial"/>
                <w:b/>
                <w:bCs/>
                <w:color w:val="B8860B"/>
                <w:sz w:val="22"/>
                <w:szCs w:val="22"/>
              </w:rPr>
              <w:t>To Start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2"/>
                <w:szCs w:val="22"/>
              </w:rPr>
              <w:t>Ordered BOM Improvements</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2"/>
                <w:szCs w:val="22"/>
              </w:rPr>
              <w:t>Monika P</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bCs/>
                <w:color w:val="B8860B"/>
                <w:sz w:val="22"/>
                <w:szCs w:val="22"/>
              </w:rPr>
              <w:t>To Start</w:t>
            </w:r>
          </w:p>
        </w:tc>
      </w:tr>
      <w:tr>
        <w:trPr/>
        <w:tc>
          <w:tcPr>
            <w:tcW w:w="4680"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tcPr>
          <w:p>
            <w:pPr>
              <w:pStyle w:val="Normal"/>
              <w:jc w:val="left"/>
              <w:rPr/>
            </w:pPr>
            <w:r>
              <w:rPr>
                <w:rFonts w:eastAsia="Arial" w:cs="Arial"/>
                <w:b w:val="false"/>
                <w:bCs w:val="false"/>
                <w:color w:val="000000"/>
                <w:sz w:val="22"/>
                <w:szCs w:val="22"/>
              </w:rPr>
              <w:t>Category Creation Enhancements</w:t>
            </w:r>
          </w:p>
        </w:tc>
        <w:tc>
          <w:tcPr>
            <w:tcW w:w="2340"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tcPr>
          <w:p>
            <w:pPr>
              <w:pStyle w:val="Normal"/>
              <w:jc w:val="left"/>
              <w:rPr/>
            </w:pPr>
            <w:r>
              <w:rPr>
                <w:rFonts w:eastAsia="Arial" w:cs="Arial"/>
                <w:b w:val="false"/>
                <w:bCs w:val="false"/>
                <w:color w:val="000000"/>
                <w:sz w:val="22"/>
                <w:szCs w:val="22"/>
              </w:rPr>
              <w:t>Monika P</w:t>
            </w:r>
          </w:p>
        </w:tc>
        <w:tc>
          <w:tcPr>
            <w:tcW w:w="2340"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tcPr>
          <w:p>
            <w:pPr>
              <w:pStyle w:val="Normal"/>
              <w:jc w:val="center"/>
              <w:rPr/>
            </w:pPr>
            <w:r>
              <w:rPr>
                <w:rFonts w:eastAsia="Arial" w:cs="Arial"/>
                <w:b/>
                <w:bCs/>
                <w:color w:val="B8860B"/>
                <w:sz w:val="22"/>
                <w:szCs w:val="22"/>
              </w:rPr>
              <w:t>To Start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2"/>
                <w:szCs w:val="22"/>
              </w:rPr>
              <w:t>Item Master Development</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2"/>
                <w:szCs w:val="22"/>
              </w:rPr>
              <w:t>Monika P</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bCs/>
                <w:color w:val="B8860B"/>
                <w:sz w:val="22"/>
                <w:szCs w:val="22"/>
              </w:rPr>
              <w:t>To Start</w:t>
            </w:r>
          </w:p>
        </w:tc>
      </w:tr>
      <w:tr>
        <w:trPr/>
        <w:tc>
          <w:tcPr>
            <w:tcW w:w="4680"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tcPr>
          <w:p>
            <w:pPr>
              <w:pStyle w:val="Normal"/>
              <w:jc w:val="left"/>
              <w:rPr/>
            </w:pPr>
            <w:r>
              <w:rPr>
                <w:rFonts w:eastAsia="Arial" w:cs="Arial"/>
                <w:b w:val="false"/>
                <w:bCs w:val="false"/>
                <w:color w:val="000000"/>
                <w:sz w:val="22"/>
                <w:szCs w:val="22"/>
              </w:rPr>
              <w:t>ESG Testing &amp; Bug Fixes</w:t>
            </w:r>
          </w:p>
        </w:tc>
        <w:tc>
          <w:tcPr>
            <w:tcW w:w="2340"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tcPr>
          <w:p>
            <w:pPr>
              <w:pStyle w:val="Normal"/>
              <w:jc w:val="left"/>
              <w:rPr/>
            </w:pPr>
            <w:r>
              <w:rPr>
                <w:rFonts w:eastAsia="Arial" w:cs="Arial"/>
                <w:b w:val="false"/>
                <w:bCs w:val="false"/>
                <w:color w:val="000000"/>
                <w:sz w:val="22"/>
                <w:szCs w:val="22"/>
              </w:rPr>
              <w:t>Monika P</w:t>
            </w:r>
          </w:p>
        </w:tc>
        <w:tc>
          <w:tcPr>
            <w:tcW w:w="2340" w:type="dxa"/>
            <w:tcBorders>
              <w:top w:val="single" w:sz="2" w:space="0" w:color="CCCCCC"/>
              <w:left w:val="single" w:sz="2" w:space="0" w:color="CCCCCC"/>
              <w:bottom w:val="single" w:sz="2" w:space="0" w:color="CCCCCC"/>
              <w:right w:val="single" w:sz="2" w:space="0" w:color="CCCCCC"/>
            </w:tcBorders>
            <w:shd w:fill="F5F5F5" w:val="clear"/>
            <w:tcMar>
              <w:top w:w="80" w:type="dxa"/>
              <w:bottom w:w="80" w:type="dxa"/>
            </w:tcMar>
          </w:tcPr>
          <w:p>
            <w:pPr>
              <w:pStyle w:val="Normal"/>
              <w:jc w:val="center"/>
              <w:rPr/>
            </w:pPr>
            <w:r>
              <w:rPr>
                <w:rFonts w:eastAsia="Arial" w:cs="Arial"/>
                <w:b/>
                <w:bCs/>
                <w:color w:val="B8860B"/>
                <w:sz w:val="22"/>
                <w:szCs w:val="22"/>
              </w:rPr>
              <w:t>To Start</w:t>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2"/>
                <w:szCs w:val="22"/>
              </w:rPr>
              <w:t>Deployment Preparation Activities</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2"/>
                <w:szCs w:val="22"/>
              </w:rPr>
              <w:t>Monika P</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bCs/>
                <w:color w:val="B8860B"/>
                <w:sz w:val="22"/>
                <w:szCs w:val="22"/>
              </w:rPr>
              <w:t>To Start</w:t>
            </w:r>
          </w:p>
        </w:tc>
      </w:tr>
    </w:tbl>
    <w:p>
      <w:pPr>
        <w:pStyle w:val="Normal"/>
        <w:spacing w:before="160" w:after="0"/>
        <w:rPr/>
      </w:pPr>
      <w:r>
        <w:rPr/>
      </w:r>
    </w:p>
    <w:p>
      <w:pPr>
        <w:pStyle w:val="Heading1"/>
        <w:pBdr>
          <w:bottom w:val="single" w:sz="6" w:space="4" w:color="2E75B6"/>
        </w:pBdr>
        <w:spacing w:before="300" w:after="120"/>
        <w:rPr/>
      </w:pPr>
      <w:r>
        <w:rPr>
          <w:rFonts w:eastAsia="Arial" w:cs="Arial" w:ascii="Arial" w:hAnsi="Arial"/>
          <w:b/>
          <w:bCs/>
          <w:color w:val="1B4F8A"/>
          <w:sz w:val="28"/>
          <w:szCs w:val="28"/>
        </w:rPr>
        <w:t>7. Remarks</w:t>
      </w:r>
    </w:p>
    <w:p>
      <w:pPr>
        <w:pStyle w:val="Normal"/>
        <w:spacing w:before="60" w:after="60"/>
        <w:rPr/>
      </w:pPr>
      <w:r>
        <w:rPr>
          <w:rFonts w:eastAsia="Arial" w:cs="Arial"/>
          <w:sz w:val="22"/>
          <w:szCs w:val="22"/>
        </w:rPr>
        <w:t>This week focused on ESG module development, procurement corrections, ERP review activities, and deployment planning. Significant progress was achieved through the successful development of ESG Compliance and Insurance Registers, along with procurement and sales module improvements. The server hosting feasibility study and deployment planning activities provide a solid foundation for the upcoming deployment and enhancement phases of the New BP ERP platform.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200" w:footer="708" w:bottom="12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5B6"/>
      </w:pBdr>
      <w:spacing w:before="80" w:after="0"/>
      <w:jc w:val="right"/>
      <w:rPr/>
    </w:pPr>
    <w:r>
      <w:rPr>
        <w:rFonts w:eastAsia="Arial" w:cs="Arial"/>
        <w:color w:val="666666"/>
        <w:sz w:val="18"/>
        <w:szCs w:val="18"/>
      </w:rPr>
      <w:t xml:space="preserve">Monika P  |  Week: 08 June 2026 – 13 June 2026  |  Page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2E75B6"/>
      </w:pBdr>
      <w:spacing w:before="80" w:after="0"/>
      <w:jc w:val="right"/>
      <w:rPr/>
    </w:pPr>
    <w:r>
      <w:rPr>
        <w:rFonts w:eastAsia="Arial" w:cs="Arial"/>
        <w:color w:val="666666"/>
        <w:sz w:val="18"/>
        <w:szCs w:val="18"/>
      </w:rPr>
      <w:t xml:space="preserve">Monika P  |  Week: 08 June 2026 – 13 June 2026  |  Page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80"/>
      <w:rPr/>
    </w:pPr>
    <w:r>
      <w:rPr>
        <w:rFonts w:eastAsia="Arial" w:cs="Arial"/>
        <w:b/>
        <w:bCs/>
        <w:color w:val="1B4F8A"/>
        <w:sz w:val="20"/>
        <w:szCs w:val="20"/>
      </w:rPr>
      <w:t>Blue Planet Biofuels  |  ERP Platform</w:t>
    </w:r>
    <w:r>
      <w:rPr>
        <w:rFonts w:eastAsia="Arial" w:cs="Arial"/>
        <w:color w:val="666666"/>
        <w:sz w:val="20"/>
        <w:szCs w:val="20"/>
      </w:rPr>
      <w:t xml:space="preserve">  |  Weekly Task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80"/>
      <w:rPr/>
    </w:pPr>
    <w:r>
      <w:rPr>
        <w:rFonts w:eastAsia="Arial" w:cs="Arial"/>
        <w:b/>
        <w:bCs/>
        <w:color w:val="1B4F8A"/>
        <w:sz w:val="20"/>
        <w:szCs w:val="20"/>
      </w:rPr>
      <w:t>Blue Planet Biofuels  |  ERP Platform</w:t>
    </w:r>
    <w:r>
      <w:rPr>
        <w:rFonts w:eastAsia="Arial" w:cs="Arial"/>
        <w:color w:val="666666"/>
        <w:sz w:val="20"/>
        <w:szCs w:val="20"/>
      </w:rPr>
      <w:t xml:space="preserve">  |  Weekly Task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4"/>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00" w:after="120"/>
      <w:outlineLvl w:val="0"/>
    </w:pPr>
    <w:rPr>
      <w:rFonts w:ascii="Arial" w:hAnsi="Arial" w:eastAsia="Arial" w:cs="Arial"/>
      <w:b/>
      <w:bCs/>
      <w:color w:val="1B4F8A"/>
      <w:sz w:val="28"/>
      <w:szCs w:val="28"/>
    </w:rPr>
  </w:style>
  <w:style w:type="paragraph" w:styleId="Heading2">
    <w:name w:val="heading 2"/>
    <w:basedOn w:val="Heading"/>
    <w:qFormat/>
    <w:pPr>
      <w:spacing w:before="200" w:after="8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LibreOffice/25.2.3.2$Linux_X86_64 LibreOffice_project/520$Build-2</Application>
  <AppVersion>15.0000</AppVersion>
  <Pages>4</Pages>
  <Words>727</Words>
  <Characters>4624</Characters>
  <CharactersWithSpaces>5175</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2026-06-13T05:15:26Z</dcterms:created>
  <dc:creator>Un-named</dc:creator>
  <dc:description/>
  <dc:language>en-IN</dc:language>
  <cp:lastModifiedBy/>
  <dcterms:modified xsi:type="dcterms:W3CDTF">2026-06-13T10:49:20Z</dcterms:modified>
  <cp:revision>2</cp:revision>
  <dc:subject/>
  <dc:title/>
</cp:coreProperties>
</file>