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Soft Skills Training — Comparison &amp; Gap Analysis Report</w:t>
      </w:r>
    </w:p>
    <w:p>
      <w:pPr>
        <w:spacing w:after="0" w:before="60"/>
      </w:pPr>
      <w:r>
        <w:t xml:space="preserve"/>
      </w:r>
    </w:p>
    <w:p>
      <w:pPr>
        <w:pBdr>
          <w:bottom w:val="single" w:color="2E75B6" w:sz="6" w:space="1"/>
        </w:pBdr>
        <w:spacing w:after="100" w:before="180"/>
      </w:pPr>
      <w:r>
        <w:rPr>
          <w:rFonts w:ascii="Arial" w:cs="Arial" w:eastAsia="Arial" w:hAnsi="Arial"/>
          <w:b/>
          <w:bCs/>
          <w:color w:val="1F4E79"/>
          <w:sz w:val="26"/>
          <w:szCs w:val="26"/>
        </w:rPr>
        <w:t xml:space="preserve">1. Executive Summary</w:t>
      </w:r>
    </w:p>
    <w:p>
      <w:pPr>
        <w:spacing w:after="40" w:before="40"/>
      </w:pPr>
      <w:r>
        <w:rPr>
          <w:rFonts w:ascii="Arial" w:cs="Arial" w:eastAsia="Arial" w:hAnsi="Arial"/>
          <w:color w:val="212121"/>
          <w:sz w:val="18"/>
          <w:szCs w:val="18"/>
        </w:rPr>
        <w:t xml:space="preserve">This report compares current team practices (As-Is) against the standards taught during the Business Professionals Programme (To-Be), identifies gaps, and prescribes an actionable improvement roadmap for management review.</w:t>
      </w:r>
    </w:p>
    <w:p>
      <w:pPr>
        <w:spacing w:after="0" w:before="40"/>
      </w:pPr>
      <w:r>
        <w:t xml:space="preserve"/>
      </w:r>
    </w:p>
    <w:p>
      <w:pPr>
        <w:spacing w:after="40" w:before="40"/>
      </w:pPr>
      <w:r>
        <w:rPr>
          <w:rFonts w:ascii="Arial" w:cs="Arial" w:eastAsia="Arial" w:hAnsi="Arial"/>
          <w:color w:val="212121"/>
          <w:sz w:val="18"/>
          <w:szCs w:val="18"/>
        </w:rPr>
        <w:t xml:space="preserve">The training, facilitated by Kaphill Mahignel (IHR Groupe), covered 13 core competency areas across communication, time management, etiquette, goal setting, and professional growth. Critical gaps were identified in Email Etiquette, Time Management, Meeting Discipline, Procrastination, and Decision Making — all rated HIGH priority.</w:t>
      </w:r>
    </w:p>
    <w:p>
      <w:pPr>
        <w:spacing w:after="0" w:before="80"/>
      </w:pPr>
      <w:r>
        <w:t xml:space="preserve"/>
      </w:r>
    </w:p>
    <w:p>
      <w:pPr>
        <w:pBdr>
          <w:bottom w:val="single" w:color="2E75B6" w:sz="6" w:space="1"/>
        </w:pBdr>
        <w:spacing w:after="100" w:before="180"/>
      </w:pPr>
      <w:r>
        <w:rPr>
          <w:rFonts w:ascii="Arial" w:cs="Arial" w:eastAsia="Arial" w:hAnsi="Arial"/>
          <w:b/>
          <w:bCs/>
          <w:color w:val="1F4E79"/>
          <w:sz w:val="26"/>
          <w:szCs w:val="26"/>
        </w:rPr>
        <w:t xml:space="preserve">2. Training Topics Covered</w:t>
      </w:r>
    </w:p>
    <w:p>
      <w:pPr>
        <w:spacing w:after="0" w:before="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Topic</w:t>
            </w:r>
          </w:p>
        </w:tc>
        <w:tc>
          <w:tcPr>
            <w:tcW w:type="dxa" w:w="72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Concepts</w:t>
            </w:r>
          </w:p>
        </w:tc>
      </w:tr>
      <w:tr>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Etiquette &amp; Dress Code</w:t>
            </w:r>
          </w:p>
        </w:tc>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Corporate dress code; no bright colours; office decorum; chair tidiness</w:t>
            </w:r>
          </w:p>
        </w:tc>
      </w:tr>
      <w:tr>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Greetings &amp; Introductions</w:t>
            </w:r>
          </w:p>
        </w:tc>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Professional greetings; clear name; handshakes; Good Morning / Thank You / Sorry</w:t>
            </w:r>
          </w:p>
        </w:tc>
      </w:tr>
      <w:tr>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Building Personal Reputation</w:t>
            </w:r>
          </w:p>
        </w:tc>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Consistent professionalism; deliberate visibility; personal brand management</w:t>
            </w:r>
          </w:p>
        </w:tc>
      </w:tr>
      <w:tr>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Goal Setting (ASSUME Model)</w:t>
            </w:r>
          </w:p>
        </w:tc>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Set Goal → Start → Doubt → Learn → Fail → Practise → Achieve (0.035 target)</w:t>
            </w:r>
          </w:p>
        </w:tc>
      </w:tr>
      <w:tr>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Email Etiquette</w:t>
            </w:r>
          </w:p>
        </w:tc>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Meaningful subject; concise writing; grammar/punctuation; no unnecessary attachments</w:t>
            </w:r>
          </w:p>
        </w:tc>
      </w:tr>
      <w:tr>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Phone / Mobile Etiquette</w:t>
            </w:r>
          </w:p>
        </w:tc>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Silent mode; speak clearly &amp; calmly; friendly tone; avoid multi-tasking</w:t>
            </w:r>
          </w:p>
        </w:tc>
      </w:tr>
      <w:tr>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Meeting Etiquette</w:t>
            </w:r>
          </w:p>
        </w:tc>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Well-drafted agenda; documents ready in advance; arrive on time</w:t>
            </w:r>
          </w:p>
        </w:tc>
      </w:tr>
      <w:tr>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General Office Etiquette</w:t>
            </w:r>
          </w:p>
        </w:tc>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Concentrate on work; maintain decorum; tidy communal spaces</w:t>
            </w:r>
          </w:p>
        </w:tc>
      </w:tr>
      <w:tr>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Body Language &amp; Video Presence</w:t>
            </w:r>
          </w:p>
        </w:tc>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Hand/leg awareness; posture; confidence projection; virtual presence</w:t>
            </w:r>
          </w:p>
        </w:tc>
      </w:tr>
      <w:tr>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Time Management</w:t>
            </w:r>
          </w:p>
        </w:tc>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84 hrs/week — energy, motivation, skills; Hard Worker vs Smart Worker</w:t>
            </w:r>
          </w:p>
        </w:tc>
      </w:tr>
      <w:tr>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Procrastination</w:t>
            </w:r>
          </w:p>
        </w:tc>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Defined as 'keeping delay / Do Later'; guilt/depression consequences; avoidance</w:t>
            </w:r>
          </w:p>
        </w:tc>
      </w:tr>
      <w:tr>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Decision Making (Eisenhower)</w:t>
            </w:r>
          </w:p>
        </w:tc>
        <w:tc>
          <w:tcPr>
            <w:tcW w:type="dxa" w:w="7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Urgent+Imp → Do Now; Imp not Urg → Decide; Neither → Dump; Urg not Imp → Delegate</w:t>
            </w:r>
          </w:p>
        </w:tc>
      </w:tr>
      <w:tr>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Comfort Zone &amp; Growth Mindset</w:t>
            </w:r>
          </w:p>
        </w:tc>
        <w:tc>
          <w:tcPr>
            <w:tcW w:type="dxa" w:w="7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Comfort → Fear → Learning → Growth Zone; self-examination; no excuses</w:t>
            </w:r>
          </w:p>
        </w:tc>
      </w:tr>
    </w:tbl>
    <w:p>
      <w:r>
        <w:br w:type="page"/>
      </w:r>
    </w:p>
    <w:p>
      <w:pPr>
        <w:pBdr>
          <w:bottom w:val="single" w:color="2E75B6" w:sz="6" w:space="1"/>
        </w:pBdr>
        <w:spacing w:after="100" w:before="180"/>
      </w:pPr>
      <w:r>
        <w:rPr>
          <w:rFonts w:ascii="Arial" w:cs="Arial" w:eastAsia="Arial" w:hAnsi="Arial"/>
          <w:b/>
          <w:bCs/>
          <w:color w:val="1F4E79"/>
          <w:sz w:val="26"/>
          <w:szCs w:val="26"/>
        </w:rPr>
        <w:t xml:space="preserve">3. Current State vs Recommended State Comparison</w:t>
      </w:r>
    </w:p>
    <w:p>
      <w:pPr>
        <w:spacing w:after="0" w:before="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2000"/>
        <w:gridCol w:w="1800"/>
        <w:gridCol w:w="900"/>
        <w:gridCol w:w="1500"/>
      </w:tblGrid>
      <w:tr>
        <w:trPr>
          <w:tblHeader/>
        </w:trPr>
        <w:tc>
          <w:tcPr>
            <w:tcW w:type="dxa" w:w="16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Area</w:t>
            </w:r>
          </w:p>
        </w:tc>
        <w:tc>
          <w:tcPr>
            <w:tcW w:type="dxa" w:w="22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Current Practice (As-Is)</w:t>
            </w:r>
          </w:p>
        </w:tc>
        <w:tc>
          <w:tcPr>
            <w:tcW w:type="dxa" w:w="24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Recommended Practice (To-Be)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Gap Identified</w:t>
            </w:r>
          </w:p>
        </w:tc>
        <w:tc>
          <w:tcPr>
            <w:tcW w:type="dxa" w:w="18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Impact</w:t>
            </w:r>
          </w:p>
        </w:tc>
        <w:tc>
          <w:tcPr>
            <w:tcW w:type="dxa" w:w="9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15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Action Owner</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Etiquette &amp; Dress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Inconsistent dress; informal manner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Follow dress code; maintain office decorum; tidy chairs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defined dress/etiquette policy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Negative client impression</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HR</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Greetings</w:t>
            </w:r>
          </w:p>
        </w:tc>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Informal, inconsistent greetings</w:t>
            </w:r>
          </w:p>
        </w:tc>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Good Morning / Thank You / Sorry / Hello; clear name</w:t>
            </w:r>
          </w:p>
        </w:tc>
        <w:tc>
          <w:tcPr>
            <w:tcW w:type="dxa" w:w="2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structured greeting protocol</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Weak personal brand</w:t>
            </w:r>
          </w:p>
        </w:tc>
        <w:tc>
          <w:tcPr>
            <w:tcW w:type="dxa" w:w="9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15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HR</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Email Etiquette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clear subject; poor grammar; unnecessary attachments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Meaningful subject; correct grammar; proper layout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Emails below professional standard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Miscommunication; poor image</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L&amp;D</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Phone/Mobile</w:t>
            </w:r>
          </w:p>
        </w:tc>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Phones on loud; multitasking on calls</w:t>
            </w:r>
          </w:p>
        </w:tc>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Silent mode; speak clearly; friendly tone; full attention</w:t>
            </w:r>
          </w:p>
        </w:tc>
        <w:tc>
          <w:tcPr>
            <w:tcW w:type="dxa" w:w="2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Disruptive mobile usage in workplace</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Meeting disruption; poor impression</w:t>
            </w:r>
          </w:p>
        </w:tc>
        <w:tc>
          <w:tcPr>
            <w:tcW w:type="dxa" w:w="9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15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Team Leads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Meeting Discipline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agenda; documents unprepared; late arrivals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Agenda in advance; docs ready; arrive on time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Unstructured meetings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Wasted time; poor decisions</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Team Leads</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Time Management</w:t>
            </w:r>
          </w:p>
        </w:tc>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Reactive tasks; no prioritisation framework</w:t>
            </w:r>
          </w:p>
        </w:tc>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Eisenhower Matrix; Smart Worker vs Hard Worker mindset</w:t>
            </w:r>
          </w:p>
        </w:tc>
        <w:tc>
          <w:tcPr>
            <w:tcW w:type="dxa" w:w="2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Time not managed strategically</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Burnout; missed deadlines</w:t>
            </w:r>
          </w:p>
        </w:tc>
        <w:tc>
          <w:tcPr>
            <w:tcW w:type="dxa" w:w="9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15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L&amp;D/Mgrs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Procrastination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Tasks delayed; no intervention strategy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Identify &amp; combat delay; task accountability tools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anti-procrastination mechanism</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Backlogs; low morale</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Team Leads</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Decision Making</w:t>
            </w:r>
          </w:p>
        </w:tc>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Intuition-based; urgent vs important confused</w:t>
            </w:r>
          </w:p>
        </w:tc>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Eisenhower: Do Now / Decide / Dump / Delegate</w:t>
            </w:r>
          </w:p>
        </w:tc>
        <w:tc>
          <w:tcPr>
            <w:tcW w:type="dxa" w:w="2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decision-making framework</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Poor resource allocation</w:t>
            </w:r>
          </w:p>
        </w:tc>
        <w:tc>
          <w:tcPr>
            <w:tcW w:type="dxa" w:w="9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15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Managers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Goal Setting</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Goals informal or absent; no ASSUME model used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ASSUME model: Set→Start→Doubt→Learn→Fail→Practise→Achieve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Goal-setting not embedded in performance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direction; poor measurement</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B86800"/>
                <w:sz w:val="17"/>
                <w:szCs w:val="17"/>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HR/Mgrs</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Comfort Zone &amp; Growth</w:t>
            </w:r>
          </w:p>
        </w:tc>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Team stays in comfort zone; no self-examination</w:t>
            </w:r>
          </w:p>
        </w:tc>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Comfort→Fear→Learning→Growth Zone journey</w:t>
            </w:r>
          </w:p>
        </w:tc>
        <w:tc>
          <w:tcPr>
            <w:tcW w:type="dxa" w:w="2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Growth mindset not institutionalised</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Talent underutilisation</w:t>
            </w:r>
          </w:p>
        </w:tc>
        <w:tc>
          <w:tcPr>
            <w:tcW w:type="dxa" w:w="9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bCs/>
                <w:color w:val="B86800"/>
                <w:sz w:val="17"/>
                <w:szCs w:val="17"/>
              </w:rPr>
              <w:t xml:space="preserve">MEDIUM</w:t>
            </w:r>
          </w:p>
        </w:tc>
        <w:tc>
          <w:tcPr>
            <w:tcW w:type="dxa" w:w="15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L&amp;D</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Body Language &amp; Video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Posture/hand movement not intentional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Manage hand/leg fitness; project confidence on video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Non-verbal skills underdeveloped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Reduced virtual credibility</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B86800"/>
                <w:sz w:val="17"/>
                <w:szCs w:val="17"/>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L&amp;D</w:t>
            </w:r>
          </w:p>
        </w:tc>
      </w:tr>
      <w:tr>
        <w:tc>
          <w:tcPr>
            <w:tcW w:type="dxa" w:w="16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Stress Management</w:t>
            </w:r>
          </w:p>
        </w:tc>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structured stress management approach</w:t>
            </w:r>
          </w:p>
        </w:tc>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Recognise triggers; plan &amp; organise; build resilience</w:t>
            </w:r>
          </w:p>
        </w:tc>
        <w:tc>
          <w:tcPr>
            <w:tcW w:type="dxa" w:w="2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Stress not proactively addressed</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Absenteeism; health impact</w:t>
            </w:r>
          </w:p>
        </w:tc>
        <w:tc>
          <w:tcPr>
            <w:tcW w:type="dxa" w:w="9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bCs/>
                <w:color w:val="B86800"/>
                <w:sz w:val="17"/>
                <w:szCs w:val="17"/>
              </w:rPr>
              <w:t xml:space="preserve">MEDIUM</w:t>
            </w:r>
          </w:p>
        </w:tc>
        <w:tc>
          <w:tcPr>
            <w:tcW w:type="dxa" w:w="15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HR/Wellness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Personal Reputation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Reputation growth not a conscious goal</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Consistent professionalism; deliberate visibility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reputation-building strategy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Limited career progression</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B86800"/>
                <w:sz w:val="17"/>
                <w:szCs w:val="17"/>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HR</w:t>
            </w:r>
          </w:p>
        </w:tc>
      </w:tr>
    </w:tbl>
    <w:p>
      <w:r>
        <w:br w:type="page"/>
      </w:r>
    </w:p>
    <w:p>
      <w:pPr>
        <w:pBdr>
          <w:bottom w:val="single" w:color="2E75B6" w:sz="6" w:space="1"/>
        </w:pBdr>
        <w:spacing w:after="100" w:before="180"/>
      </w:pPr>
      <w:r>
        <w:rPr>
          <w:rFonts w:ascii="Arial" w:cs="Arial" w:eastAsia="Arial" w:hAnsi="Arial"/>
          <w:b/>
          <w:bCs/>
          <w:color w:val="1F4E79"/>
          <w:sz w:val="26"/>
          <w:szCs w:val="26"/>
        </w:rPr>
        <w:t xml:space="preserve">4. Gap Analysis Highlights</w:t>
      </w:r>
    </w:p>
    <w:p>
      <w:pPr>
        <w:spacing w:after="0" w:before="3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000"/>
        <w:gridCol w:w="3000"/>
        <w:gridCol w:w="360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Gap Area</w:t>
            </w:r>
          </w:p>
        </w:tc>
        <w:tc>
          <w:tcPr>
            <w:tcW w:type="dxa" w:w="30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Root Cause</w:t>
            </w:r>
          </w:p>
        </w:tc>
        <w:tc>
          <w:tcPr>
            <w:tcW w:type="dxa" w:w="30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Consequences</w:t>
            </w:r>
          </w:p>
        </w:tc>
        <w:tc>
          <w:tcPr>
            <w:tcW w:type="dxa" w:w="30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Recommendation</w:t>
            </w:r>
          </w:p>
        </w:tc>
        <w:tc>
          <w:tcPr>
            <w:tcW w:type="dxa" w:w="36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Expected Outcome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Email &amp; Communication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communication policy; limited business writing training</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Miscommunication; erosion of brand credibility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Issue policy; conduct business writing workshop</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Professional, consistent written communication</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Time Management</w:t>
            </w:r>
          </w:p>
        </w:tc>
        <w:tc>
          <w:tcPr>
            <w:tcW w:type="dxa" w:w="3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prioritisation framework; culture of busyness over effectiveness</w:t>
            </w:r>
          </w:p>
        </w:tc>
        <w:tc>
          <w:tcPr>
            <w:tcW w:type="dxa" w:w="3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Burnout; deadline slippage; poor output quality</w:t>
            </w:r>
          </w:p>
        </w:tc>
        <w:tc>
          <w:tcPr>
            <w:tcW w:type="dxa" w:w="3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Train on Eisenhower Matrix; promote Smart Worker ethos</w:t>
            </w:r>
          </w:p>
        </w:tc>
        <w:tc>
          <w:tcPr>
            <w:tcW w:type="dxa" w:w="36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Efficient use of working hours; fewer missed deadlines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Procrastination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task-management system; fear of failure; no accountability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Backlogs; declining quality; disengagement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Introduce task-tracking tools; accountability pairs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Timely delivery; improved team morale</w:t>
            </w:r>
          </w:p>
        </w:tc>
      </w:tr>
      <w:tr>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Meeting Discipline</w:t>
            </w:r>
          </w:p>
        </w:tc>
        <w:tc>
          <w:tcPr>
            <w:tcW w:type="dxa" w:w="3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formal meeting protocol; ad-hoc scheduling culture</w:t>
            </w:r>
          </w:p>
        </w:tc>
        <w:tc>
          <w:tcPr>
            <w:tcW w:type="dxa" w:w="3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Wasted org time; poor decisions; no action accountability</w:t>
            </w:r>
          </w:p>
        </w:tc>
        <w:tc>
          <w:tcPr>
            <w:tcW w:type="dxa" w:w="3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Mandate pre-meeting agendas; appoint minute-takers</w:t>
            </w:r>
          </w:p>
        </w:tc>
        <w:tc>
          <w:tcPr>
            <w:tcW w:type="dxa" w:w="36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Productive, focused, outcome-driven meetings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Goal Setting &amp; Growth</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No structured goal framework; limited coaching culture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Directionless effort; talent underutilisation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Integrate ASSUME model into performance reviews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Aligned goals; engaged, growth-oriented team</w:t>
            </w:r>
          </w:p>
        </w:tc>
      </w:tr>
    </w:tbl>
    <w:p>
      <w:pPr>
        <w:spacing w:after="0" w:before="80"/>
      </w:pPr>
      <w:r>
        <w:t xml:space="preserve"/>
      </w:r>
    </w:p>
    <w:p>
      <w:pPr>
        <w:pBdr>
          <w:bottom w:val="single" w:color="2E75B6" w:sz="6" w:space="1"/>
        </w:pBdr>
        <w:spacing w:after="100" w:before="180"/>
      </w:pPr>
      <w:r>
        <w:rPr>
          <w:rFonts w:ascii="Arial" w:cs="Arial" w:eastAsia="Arial" w:hAnsi="Arial"/>
          <w:b/>
          <w:bCs/>
          <w:color w:val="1F4E79"/>
          <w:sz w:val="26"/>
          <w:szCs w:val="26"/>
        </w:rPr>
        <w:t xml:space="preserve">5. Action Plan</w:t>
      </w:r>
    </w:p>
    <w:p>
      <w:pPr>
        <w:spacing w:after="0" w:before="3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400"/>
        <w:gridCol w:w="1000"/>
        <w:gridCol w:w="640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Recommendation</w:t>
            </w:r>
          </w:p>
        </w:tc>
        <w:tc>
          <w:tcPr>
            <w:tcW w:type="dxa" w:w="32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Action Required</w:t>
            </w:r>
          </w:p>
        </w:tc>
        <w:tc>
          <w:tcPr>
            <w:tcW w:type="dxa" w:w="14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Owner</w:t>
            </w:r>
          </w:p>
        </w:tc>
        <w:tc>
          <w:tcPr>
            <w:tcW w:type="dxa" w:w="10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Priority</w:t>
            </w:r>
          </w:p>
        </w:tc>
        <w:tc>
          <w:tcPr>
            <w:tcW w:type="dxa" w:w="64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Expected Outcome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Communication Standards Policy</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Draft &amp; distribute Email + Phone Etiquette policy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HR / L&amp;D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6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Uniform professional communication</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Meeting Protocol Mandate</w:t>
            </w:r>
          </w:p>
        </w:tc>
        <w:tc>
          <w:tcPr>
            <w:tcW w:type="dxa" w:w="3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Circulate agendas 24 hrs prior; assign minute-taker</w:t>
            </w:r>
          </w:p>
        </w:tc>
        <w:tc>
          <w:tcPr>
            <w:tcW w:type="dxa" w:w="1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Team Leads</w:t>
            </w:r>
          </w:p>
        </w:tc>
        <w:tc>
          <w:tcPr>
            <w:tcW w:type="dxa" w:w="1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6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Focused, time-bound meetings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Time Management Workshop</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Train on Eisenhower Matrix; Smart Worker philosophy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L&amp;D / Mgrs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6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Reduced deadline misses</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Dress Code &amp; Etiquette Briefing</w:t>
            </w:r>
          </w:p>
        </w:tc>
        <w:tc>
          <w:tcPr>
            <w:tcW w:type="dxa" w:w="3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Issue visual dress code guide; embed in induction</w:t>
            </w:r>
          </w:p>
        </w:tc>
        <w:tc>
          <w:tcPr>
            <w:tcW w:type="dxa" w:w="1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HR</w:t>
            </w:r>
          </w:p>
        </w:tc>
        <w:tc>
          <w:tcPr>
            <w:tcW w:type="dxa" w:w="1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6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Consistent professional appearance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Anti-Procrastination Rollout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Introduce task-tracking; weekly accountability check-ins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Team Leads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C00000"/>
                <w:sz w:val="17"/>
                <w:szCs w:val="17"/>
              </w:rPr>
              <w:t xml:space="preserve">HIGH</w:t>
            </w:r>
          </w:p>
        </w:tc>
        <w:tc>
          <w:tcPr>
            <w:tcW w:type="dxa" w:w="6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Reduced backlog; improved delivery</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Goal-Setting Framework</w:t>
            </w:r>
          </w:p>
        </w:tc>
        <w:tc>
          <w:tcPr>
            <w:tcW w:type="dxa" w:w="3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Train on ASSUME model; integrate into performance reviews</w:t>
            </w:r>
          </w:p>
        </w:tc>
        <w:tc>
          <w:tcPr>
            <w:tcW w:type="dxa" w:w="1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HR / Mgrs</w:t>
            </w:r>
          </w:p>
        </w:tc>
        <w:tc>
          <w:tcPr>
            <w:tcW w:type="dxa" w:w="1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bCs/>
                <w:color w:val="B86800"/>
                <w:sz w:val="17"/>
                <w:szCs w:val="17"/>
              </w:rPr>
              <w:t xml:space="preserve">MEDIUM</w:t>
            </w:r>
          </w:p>
        </w:tc>
        <w:tc>
          <w:tcPr>
            <w:tcW w:type="dxa" w:w="6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Aligned personal &amp; org objectives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1F4E79"/>
                <w:sz w:val="17"/>
                <w:szCs w:val="17"/>
              </w:rPr>
              <w:t xml:space="preserve">Growth Mindset Programme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Quarterly sessions; stretch assignments; celebrate learning</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L&amp;D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B86800"/>
                <w:sz w:val="17"/>
                <w:szCs w:val="17"/>
              </w:rPr>
              <w:t xml:space="preserve">MEDIUM</w:t>
            </w:r>
          </w:p>
        </w:tc>
        <w:tc>
          <w:tcPr>
            <w:tcW w:type="dxa" w:w="6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Culture of continuous improvement</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bCs/>
                <w:color w:val="1F4E79"/>
                <w:sz w:val="17"/>
                <w:szCs w:val="17"/>
              </w:rPr>
              <w:t xml:space="preserve">Decision-Making Framework</w:t>
            </w:r>
          </w:p>
        </w:tc>
        <w:tc>
          <w:tcPr>
            <w:tcW w:type="dxa" w:w="3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Train managers on Eisenhower Matrix; issue quick-ref card</w:t>
            </w:r>
          </w:p>
        </w:tc>
        <w:tc>
          <w:tcPr>
            <w:tcW w:type="dxa" w:w="1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val="false"/>
                <w:bCs w:val="false"/>
                <w:color w:val="595959"/>
                <w:sz w:val="17"/>
                <w:szCs w:val="17"/>
              </w:rPr>
              <w:t xml:space="preserve">Managers</w:t>
            </w:r>
          </w:p>
        </w:tc>
        <w:tc>
          <w:tcPr>
            <w:tcW w:type="dxa" w:w="10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center"/>
            </w:pPr>
            <w:r>
              <w:rPr>
                <w:rFonts w:ascii="Arial" w:cs="Arial" w:eastAsia="Arial" w:hAnsi="Arial"/>
                <w:b/>
                <w:bCs/>
                <w:color w:val="B86800"/>
                <w:sz w:val="17"/>
                <w:szCs w:val="17"/>
              </w:rPr>
              <w:t xml:space="preserve">MEDIUM</w:t>
            </w:r>
          </w:p>
        </w:tc>
        <w:tc>
          <w:tcPr>
            <w:tcW w:type="dxa" w:w="6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tcPr>
          <w:p>
            <w:pPr>
              <w:jc w:val="left"/>
            </w:pPr>
            <w:r>
              <w:rPr>
                <w:rFonts w:ascii="Arial" w:cs="Arial" w:eastAsia="Arial" w:hAnsi="Arial"/>
                <w:b w:val="false"/>
                <w:bCs w:val="false"/>
                <w:color w:val="212121"/>
                <w:sz w:val="17"/>
                <w:szCs w:val="17"/>
              </w:rPr>
              <w:t xml:space="preserve">Faster, better-prioritised decisions</w:t>
            </w:r>
          </w:p>
        </w:tc>
      </w:tr>
    </w:tbl>
    <w:p>
      <w:pPr>
        <w:spacing w:after="0" w:before="80"/>
      </w:pPr>
      <w:r>
        <w:t xml:space="preserve"/>
      </w:r>
    </w:p>
    <w:p>
      <w:pPr>
        <w:pBdr>
          <w:bottom w:val="single" w:color="2E75B6" w:sz="6" w:space="1"/>
        </w:pBdr>
        <w:spacing w:after="100" w:before="180"/>
      </w:pPr>
      <w:r>
        <w:rPr>
          <w:rFonts w:ascii="Arial" w:cs="Arial" w:eastAsia="Arial" w:hAnsi="Arial"/>
          <w:b/>
          <w:bCs/>
          <w:color w:val="1F4E79"/>
          <w:sz w:val="26"/>
          <w:szCs w:val="26"/>
        </w:rPr>
        <w:t xml:space="preserve">6. Benefits &amp; Best Practices</w:t>
      </w:r>
    </w:p>
    <w:p>
      <w:pPr>
        <w:spacing w:after="0" w:before="3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rPr>
          <w:tblHeader/>
        </w:trPr>
        <w:tc>
          <w:tcPr>
            <w:tcW w:type="dxa" w:w="36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Communication</w:t>
            </w:r>
          </w:p>
        </w:tc>
        <w:tc>
          <w:tcPr>
            <w:tcW w:type="dxa" w:w="36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Productivity &amp; Time</w:t>
            </w:r>
          </w:p>
        </w:tc>
        <w:tc>
          <w:tcPr>
            <w:tcW w:type="dxa" w:w="36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Professionalism</w:t>
            </w:r>
          </w:p>
        </w:tc>
        <w:tc>
          <w:tcPr>
            <w:tcW w:type="dxa" w:w="3600"/>
            <w:tcBorders>
              <w:top w:val="single" w:color="2E75B6" w:sz="4"/>
              <w:left w:val="single" w:color="2E75B6" w:sz="4"/>
              <w:bottom w:val="single" w:color="2E75B6" w:sz="4"/>
              <w:right w:val="single" w:color="2E75B6" w:sz="4"/>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Leadership &amp; Growth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pStyle w:val="ListParagraph"/>
              <w:numPr>
                <w:ilvl w:val="0"/>
                <w:numId w:val="2"/>
              </w:numPr>
              <w:spacing w:after="30" w:before="30"/>
            </w:pPr>
            <w:r>
              <w:rPr>
                <w:rFonts w:ascii="Arial" w:cs="Arial" w:eastAsia="Arial" w:hAnsi="Arial"/>
                <w:color w:val="212121"/>
                <w:sz w:val="17"/>
                <w:szCs w:val="17"/>
              </w:rPr>
              <w:t xml:space="preserve">Professional email subject &amp; body structure</w:t>
            </w:r>
          </w:p>
          <w:p>
            <w:pPr>
              <w:pStyle w:val="ListParagraph"/>
              <w:numPr>
                <w:ilvl w:val="0"/>
                <w:numId w:val="2"/>
              </w:numPr>
              <w:spacing w:after="30" w:before="30"/>
            </w:pPr>
            <w:r>
              <w:rPr>
                <w:rFonts w:ascii="Arial" w:cs="Arial" w:eastAsia="Arial" w:hAnsi="Arial"/>
                <w:color w:val="212121"/>
                <w:sz w:val="17"/>
                <w:szCs w:val="17"/>
              </w:rPr>
              <w:t xml:space="preserve">Friendly, clear phone communication</w:t>
            </w:r>
          </w:p>
          <w:p>
            <w:pPr>
              <w:pStyle w:val="ListParagraph"/>
              <w:numPr>
                <w:ilvl w:val="0"/>
                <w:numId w:val="2"/>
              </w:numPr>
              <w:spacing w:after="30" w:before="30"/>
            </w:pPr>
            <w:r>
              <w:rPr>
                <w:rFonts w:ascii="Arial" w:cs="Arial" w:eastAsia="Arial" w:hAnsi="Arial"/>
                <w:color w:val="212121"/>
                <w:sz w:val="17"/>
                <w:szCs w:val="17"/>
              </w:rPr>
              <w:t xml:space="preserve">Consistent greetings build trust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pStyle w:val="ListParagraph"/>
              <w:numPr>
                <w:ilvl w:val="0"/>
                <w:numId w:val="2"/>
              </w:numPr>
              <w:spacing w:after="30" w:before="30"/>
            </w:pPr>
            <w:r>
              <w:rPr>
                <w:rFonts w:ascii="Arial" w:cs="Arial" w:eastAsia="Arial" w:hAnsi="Arial"/>
                <w:color w:val="212121"/>
                <w:sz w:val="17"/>
                <w:szCs w:val="17"/>
              </w:rPr>
              <w:t xml:space="preserve">Eisenhower Matrix for daily prioritisation</w:t>
            </w:r>
          </w:p>
          <w:p>
            <w:pPr>
              <w:pStyle w:val="ListParagraph"/>
              <w:numPr>
                <w:ilvl w:val="0"/>
                <w:numId w:val="2"/>
              </w:numPr>
              <w:spacing w:after="30" w:before="30"/>
            </w:pPr>
            <w:r>
              <w:rPr>
                <w:rFonts w:ascii="Arial" w:cs="Arial" w:eastAsia="Arial" w:hAnsi="Arial"/>
                <w:color w:val="212121"/>
                <w:sz w:val="17"/>
                <w:szCs w:val="17"/>
              </w:rPr>
              <w:t xml:space="preserve">Smart Worker mindset — output over effort</w:t>
            </w:r>
          </w:p>
          <w:p>
            <w:pPr>
              <w:pStyle w:val="ListParagraph"/>
              <w:numPr>
                <w:ilvl w:val="0"/>
                <w:numId w:val="2"/>
              </w:numPr>
              <w:spacing w:after="30" w:before="30"/>
            </w:pPr>
            <w:r>
              <w:rPr>
                <w:rFonts w:ascii="Arial" w:cs="Arial" w:eastAsia="Arial" w:hAnsi="Arial"/>
                <w:color w:val="212121"/>
                <w:sz w:val="17"/>
                <w:szCs w:val="17"/>
              </w:rPr>
              <w:t xml:space="preserve">Anti-procrastination daily task commitment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pStyle w:val="ListParagraph"/>
              <w:numPr>
                <w:ilvl w:val="0"/>
                <w:numId w:val="2"/>
              </w:numPr>
              <w:spacing w:after="30" w:before="30"/>
            </w:pPr>
            <w:r>
              <w:rPr>
                <w:rFonts w:ascii="Arial" w:cs="Arial" w:eastAsia="Arial" w:hAnsi="Arial"/>
                <w:color w:val="212121"/>
                <w:sz w:val="17"/>
                <w:szCs w:val="17"/>
              </w:rPr>
              <w:t xml:space="preserve">Uniform dress code across the team</w:t>
            </w:r>
          </w:p>
          <w:p>
            <w:pPr>
              <w:pStyle w:val="ListParagraph"/>
              <w:numPr>
                <w:ilvl w:val="0"/>
                <w:numId w:val="2"/>
              </w:numPr>
              <w:spacing w:after="30" w:before="30"/>
            </w:pPr>
            <w:r>
              <w:rPr>
                <w:rFonts w:ascii="Arial" w:cs="Arial" w:eastAsia="Arial" w:hAnsi="Arial"/>
                <w:color w:val="212121"/>
                <w:sz w:val="17"/>
                <w:szCs w:val="17"/>
              </w:rPr>
              <w:t xml:space="preserve">Structured meeting protocols</w:t>
            </w:r>
          </w:p>
          <w:p>
            <w:pPr>
              <w:pStyle w:val="ListParagraph"/>
              <w:numPr>
                <w:ilvl w:val="0"/>
                <w:numId w:val="2"/>
              </w:numPr>
              <w:spacing w:after="30" w:before="30"/>
            </w:pPr>
            <w:r>
              <w:rPr>
                <w:rFonts w:ascii="Arial" w:cs="Arial" w:eastAsia="Arial" w:hAnsi="Arial"/>
                <w:color w:val="212121"/>
                <w:sz w:val="17"/>
                <w:szCs w:val="17"/>
              </w:rPr>
              <w:t xml:space="preserve">Positive body language &amp; virtual presence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pStyle w:val="ListParagraph"/>
              <w:numPr>
                <w:ilvl w:val="0"/>
                <w:numId w:val="2"/>
              </w:numPr>
              <w:spacing w:after="30" w:before="30"/>
            </w:pPr>
            <w:r>
              <w:rPr>
                <w:rFonts w:ascii="Arial" w:cs="Arial" w:eastAsia="Arial" w:hAnsi="Arial"/>
                <w:color w:val="212121"/>
                <w:sz w:val="17"/>
                <w:szCs w:val="17"/>
              </w:rPr>
              <w:t xml:space="preserve">ASSUME goal-setting embedded in reviews</w:t>
            </w:r>
          </w:p>
          <w:p>
            <w:pPr>
              <w:pStyle w:val="ListParagraph"/>
              <w:numPr>
                <w:ilvl w:val="0"/>
                <w:numId w:val="2"/>
              </w:numPr>
              <w:spacing w:after="30" w:before="30"/>
            </w:pPr>
            <w:r>
              <w:rPr>
                <w:rFonts w:ascii="Arial" w:cs="Arial" w:eastAsia="Arial" w:hAnsi="Arial"/>
                <w:color w:val="212121"/>
                <w:sz w:val="17"/>
                <w:szCs w:val="17"/>
              </w:rPr>
              <w:t xml:space="preserve">Comfort→Growth Zone stretch practices</w:t>
            </w:r>
          </w:p>
          <w:p>
            <w:pPr>
              <w:pStyle w:val="ListParagraph"/>
              <w:numPr>
                <w:ilvl w:val="0"/>
                <w:numId w:val="2"/>
              </w:numPr>
              <w:spacing w:after="30" w:before="30"/>
            </w:pPr>
            <w:r>
              <w:rPr>
                <w:rFonts w:ascii="Arial" w:cs="Arial" w:eastAsia="Arial" w:hAnsi="Arial"/>
                <w:color w:val="212121"/>
                <w:sz w:val="17"/>
                <w:szCs w:val="17"/>
              </w:rPr>
              <w:t xml:space="preserve">Delegation to develop junior talent</w:t>
            </w:r>
          </w:p>
        </w:tc>
      </w:tr>
    </w:tbl>
    <w:p>
      <w:pPr>
        <w:spacing w:after="0" w:before="80"/>
      </w:pPr>
      <w:r>
        <w:t xml:space="preserve"/>
      </w:r>
    </w:p>
    <w:p>
      <w:pPr>
        <w:pBdr>
          <w:bottom w:val="single" w:color="2E75B6" w:sz="6" w:space="1"/>
        </w:pBdr>
        <w:spacing w:after="100" w:before="180"/>
      </w:pPr>
      <w:r>
        <w:rPr>
          <w:rFonts w:ascii="Arial" w:cs="Arial" w:eastAsia="Arial" w:hAnsi="Arial"/>
          <w:b/>
          <w:bCs/>
          <w:color w:val="1F4E79"/>
          <w:sz w:val="26"/>
          <w:szCs w:val="26"/>
        </w:rPr>
        <w:t xml:space="preserve">7. Conclusion</w:t>
      </w:r>
    </w:p>
    <w:p>
      <w:pPr>
        <w:spacing w:after="40" w:before="40"/>
      </w:pPr>
      <w:r>
        <w:rPr>
          <w:rFonts w:ascii="Arial" w:cs="Arial" w:eastAsia="Arial" w:hAnsi="Arial"/>
          <w:color w:val="212121"/>
          <w:sz w:val="18"/>
          <w:szCs w:val="18"/>
        </w:rPr>
        <w:t xml:space="preserve">The Business Professionals Programme has surfaced actionable improvement opportunities across 13 soft skill areas. Immediate priorities — Email Etiquette, Time Management, Meeting Protocols, Procrastination, and Decision Making — should be addressed within 30 days. Medium-term initiatives in Goal Setting and Growth Mindset will build a future-ready team. Full adoption of recommended practices is projected to deliver measurable gains in productivity, professional image, client satisfaction, and leadership pipeline strength.</w:t>
      </w:r>
    </w:p>
    <w:sectPr>
      <w:headerReference w:type="default" r:id="rId7"/>
      <w:footerReference w:type="default" r:id="rId8"/>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jc w:val="right"/>
    </w:pPr>
    <w:r>
      <w:rPr>
        <w:rFonts w:ascii="Arial" w:cs="Arial" w:eastAsia="Arial" w:hAnsi="Arial"/>
        <w:color w:val="595959"/>
        <w:sz w:val="16"/>
        <w:szCs w:val="16"/>
      </w:rPr>
      <w:t xml:space="preserve">Page </w:t>
    </w:r>
    <w:fldSimple w:instr="PAGE"/>
    <w:r>
      <w:rPr>
        <w:rFonts w:ascii="Arial" w:cs="Arial" w:eastAsia="Arial" w:hAnsi="Arial"/>
        <w:color w:val="595959"/>
        <w:sz w:val="16"/>
        <w:szCs w:val="16"/>
      </w:rPr>
      <w:t xml:space="preserve"> of 3   |   Confidential — For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60"/>
    </w:pPr>
    <w:r>
      <w:rPr>
        <w:rFonts w:ascii="Arial" w:cs="Arial" w:eastAsia="Arial" w:hAnsi="Arial"/>
        <w:b/>
        <w:bCs/>
        <w:color w:val="1F4E79"/>
        <w:sz w:val="18"/>
        <w:szCs w:val="18"/>
      </w:rPr>
      <w:t xml:space="preserve">Soft Skills Training  —  Comparison &amp; Gap Analysis Report</w:t>
    </w:r>
    <w:r>
      <w:rPr>
        <w:rFonts w:ascii="Arial" w:cs="Arial" w:eastAsia="Arial" w:hAnsi="Arial"/>
        <w:color w:val="595959"/>
        <w:sz w:val="16"/>
        <w:szCs w:val="16"/>
      </w:rPr>
      <w:t xml:space="preserve">   |   Business Professionals Programme  |  IHR Groupe, Jan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rPr>
        <w:rFonts w:ascii="Arial" w:cs="Arial" w:eastAsia="Arial" w:hAnsi="Arial"/>
        <w:sz w:val="17"/>
        <w:szCs w:val="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18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2026-06-02T03:36:39.044Z</dcterms:created>
  <dcterms:modified xsi:type="dcterms:W3CDTF">2026-06-02T03:36:39.044Z</dcterms:modified>
</cp:coreProperties>
</file>

<file path=docProps/custom.xml><?xml version="1.0" encoding="utf-8"?>
<Properties xmlns="http://schemas.openxmlformats.org/officeDocument/2006/custom-properties" xmlns:vt="http://schemas.openxmlformats.org/officeDocument/2006/docPropsVTypes"/>
</file>