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jc w:val="center"/>
      </w:pPr>
      <w:r>
        <w:rPr>
          <w:rFonts w:ascii="Arial" w:cs="Arial" w:eastAsia="Arial" w:hAnsi="Arial"/>
          <w:b/>
          <w:bCs/>
          <w:color w:val="2C3E50"/>
          <w:sz w:val="40"/>
          <w:szCs w:val="40"/>
        </w:rPr>
        <w:t xml:space="preserve">Soft Skills Training — Supplementary Deep-Dive Report</w:t>
      </w:r>
    </w:p>
    <w:p>
      <w:pPr>
        <w:spacing w:after="80" w:before="0"/>
        <w:jc w:val="center"/>
      </w:pPr>
      <w:r>
        <w:rPr>
          <w:rFonts w:ascii="Arial" w:cs="Arial" w:eastAsia="Arial" w:hAnsi="Arial"/>
          <w:color w:val="16A085"/>
          <w:sz w:val="19"/>
          <w:szCs w:val="19"/>
        </w:rPr>
        <w:t xml:space="preserve">Topics Not Covered in Report 1  |  Zone Model  •  ASSUME Framework  •  Attitude &amp; Behaviour  •  Teamwork &amp; Stress  •  IHR Context</w:t>
      </w:r>
    </w:p>
    <w:p>
      <w:pPr>
        <w:pBdr>
          <w:bottom w:val="single" w:color="16A085" w:sz="8" w:space="1"/>
        </w:pBdr>
        <w:spacing w:after="80" w:before="160"/>
      </w:pPr>
      <w:r>
        <w:rPr>
          <w:rFonts w:ascii="Arial" w:cs="Arial" w:eastAsia="Arial" w:hAnsi="Arial"/>
          <w:b/>
          <w:bCs/>
          <w:color w:val="2C3E50"/>
          <w:sz w:val="26"/>
          <w:szCs w:val="26"/>
        </w:rPr>
        <w:t xml:space="preserve">1. Training Context — IHR Groupe &amp; Programme Background</w:t>
      </w:r>
    </w:p>
    <w:p>
      <w:pPr>
        <w:spacing w:after="40" w:before="40"/>
      </w:pPr>
      <w:r>
        <w:rPr>
          <w:rFonts w:ascii="Arial" w:cs="Arial" w:eastAsia="Arial" w:hAnsi="Arial"/>
          <w:color w:val="1A1A1A"/>
          <w:sz w:val="18"/>
          <w:szCs w:val="18"/>
        </w:rPr>
        <w:t xml:space="preserve">The following organisational context was introduced at the start of the programme but was not analysed in Report 1. Understanding the facilitator's background and IHR Groupe's scale provides important framing for the training's credibility and applicability.</w:t>
      </w:r>
    </w:p>
    <w:p>
      <w:pPr>
        <w:spacing w:after="0" w:before="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11200"/>
      </w:tblGrid>
      <w:tr>
        <w:trPr>
          <w:tblHeader/>
        </w:trPr>
        <w:tc>
          <w:tcPr>
            <w:tcW w:type="dxa" w:w="32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Attribute</w:t>
            </w:r>
          </w:p>
        </w:tc>
        <w:tc>
          <w:tcPr>
            <w:tcW w:type="dxa" w:w="112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Detail</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2C3E50"/>
                <w:sz w:val="17"/>
                <w:szCs w:val="17"/>
              </w:rPr>
              <w:t xml:space="preserve">Organisation</w:t>
            </w:r>
          </w:p>
        </w:tc>
        <w:tc>
          <w:tcPr>
            <w:tcW w:type="dxa" w:w="1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IHR Groupe — Group of 21 Companies Globally. Sigma is the largest entity within the group.</w:t>
            </w:r>
          </w:p>
        </w:tc>
      </w:tr>
      <w:tr>
        <w:tc>
          <w:tcPr>
            <w:tcW w:type="dxa" w:w="32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bCs/>
                <w:color w:val="2C3E50"/>
                <w:sz w:val="17"/>
                <w:szCs w:val="17"/>
              </w:rPr>
              <w:t xml:space="preserve">Heritage</w:t>
            </w:r>
          </w:p>
        </w:tc>
        <w:tc>
          <w:tcPr>
            <w:tcW w:type="dxa" w:w="112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Founded 1992 — 34 years of HR expertise. Started with desktop-only, no internet — demonstrating evolution and adaptability.</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2C3E50"/>
                <w:sz w:val="17"/>
                <w:szCs w:val="17"/>
              </w:rPr>
              <w:t xml:space="preserve">Sector Footprint</w:t>
            </w:r>
          </w:p>
        </w:tc>
        <w:tc>
          <w:tcPr>
            <w:tcW w:type="dxa" w:w="1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8 Industries / 15 Companies: Telecom, Lifestyle, HR, IT, Real Estate — diverse operational environment.</w:t>
            </w:r>
          </w:p>
        </w:tc>
      </w:tr>
      <w:tr>
        <w:tc>
          <w:tcPr>
            <w:tcW w:type="dxa" w:w="32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bCs/>
                <w:color w:val="2C3E50"/>
                <w:sz w:val="17"/>
                <w:szCs w:val="17"/>
              </w:rPr>
              <w:t xml:space="preserve">Programme Title</w:t>
            </w:r>
          </w:p>
        </w:tc>
        <w:tc>
          <w:tcPr>
            <w:tcW w:type="dxa" w:w="112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Business Professionals Programme — designed to build holistic professional competence across all employee levels.</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2C3E50"/>
                <w:sz w:val="17"/>
                <w:szCs w:val="17"/>
              </w:rPr>
              <w:t xml:space="preserve">Facilitator</w:t>
            </w:r>
          </w:p>
        </w:tc>
        <w:tc>
          <w:tcPr>
            <w:tcW w:type="dxa" w:w="1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Kaphill Mahignel — Experienced HR and Soft Skills specialist with decades of cross-industry exposure.</w:t>
            </w:r>
          </w:p>
        </w:tc>
      </w:tr>
      <w:tr>
        <w:tc>
          <w:tcPr>
            <w:tcW w:type="dxa" w:w="32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bCs/>
                <w:color w:val="2C3E50"/>
                <w:sz w:val="17"/>
                <w:szCs w:val="17"/>
              </w:rPr>
              <w:t xml:space="preserve">Core Philosophy</w:t>
            </w:r>
          </w:p>
        </w:tc>
        <w:tc>
          <w:tcPr>
            <w:tcW w:type="dxa" w:w="112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Professional development is not a one-time event but a continuous journey from Comfort Zone through to Growth Zone.</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2C3E50"/>
                <w:sz w:val="17"/>
                <w:szCs w:val="17"/>
              </w:rPr>
              <w:t xml:space="preserve">Relevance to Team</w:t>
            </w:r>
          </w:p>
        </w:tc>
        <w:tc>
          <w:tcPr>
            <w:tcW w:type="dxa" w:w="1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Applicable to all team members regardless of role. Soft skills directly impact client perception, team performance, and individual career trajectory.</w:t>
            </w:r>
          </w:p>
        </w:tc>
      </w:tr>
    </w:tbl>
    <w:p>
      <w:pPr>
        <w:spacing w:after="0" w:before="80"/>
      </w:pPr>
      <w:r>
        <w:t xml:space="preserve"/>
      </w:r>
    </w:p>
    <w:p>
      <w:pPr>
        <w:pBdr>
          <w:bottom w:val="single" w:color="16A085" w:sz="8" w:space="1"/>
        </w:pBdr>
        <w:spacing w:after="80" w:before="160"/>
      </w:pPr>
      <w:r>
        <w:rPr>
          <w:rFonts w:ascii="Arial" w:cs="Arial" w:eastAsia="Arial" w:hAnsi="Arial"/>
          <w:b/>
          <w:bCs/>
          <w:color w:val="2C3E50"/>
          <w:sz w:val="26"/>
          <w:szCs w:val="26"/>
        </w:rPr>
        <w:t xml:space="preserve">2. The 5-Zone Growth Model — Detailed Analysis</w:t>
      </w:r>
    </w:p>
    <w:p>
      <w:pPr>
        <w:spacing w:after="40" w:before="40"/>
      </w:pPr>
      <w:r>
        <w:rPr>
          <w:rFonts w:ascii="Arial" w:cs="Arial" w:eastAsia="Arial" w:hAnsi="Arial"/>
          <w:color w:val="1A1A1A"/>
          <w:sz w:val="18"/>
          <w:szCs w:val="18"/>
        </w:rPr>
        <w:t xml:space="preserve">The Zone Model was introduced as the overarching personal and professional development framework for the programme. Report 1 referenced it briefly; this section provides a full stage-by-stage breakdown with observable team behaviour indicators and actionable guidance for managers.</w:t>
      </w:r>
    </w:p>
    <w:p>
      <w:pPr>
        <w:spacing w:after="0" w:before="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3200"/>
        <w:gridCol w:w="4000"/>
      </w:tblGrid>
      <w:tr>
        <w:trPr>
          <w:tblHeader/>
        </w:trPr>
        <w:tc>
          <w:tcPr>
            <w:tcW w:type="dxa" w:w="18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Zone</w:t>
            </w:r>
          </w:p>
        </w:tc>
        <w:tc>
          <w:tcPr>
            <w:tcW w:type="dxa" w:w="22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Zone Name</w:t>
            </w:r>
          </w:p>
        </w:tc>
        <w:tc>
          <w:tcPr>
            <w:tcW w:type="dxa" w:w="32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Characteristics</w:t>
            </w:r>
          </w:p>
        </w:tc>
        <w:tc>
          <w:tcPr>
            <w:tcW w:type="dxa" w:w="32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Team Behaviour Signs</w:t>
            </w:r>
          </w:p>
        </w:tc>
        <w:tc>
          <w:tcPr>
            <w:tcW w:type="dxa" w:w="40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Trainer Guidance</w:t>
            </w:r>
          </w:p>
        </w:tc>
      </w:tr>
      <w:tr>
        <w:tc>
          <w:tcPr>
            <w:tcW w:type="dxa" w:w="18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jc w:val="center"/>
            </w:pPr>
            <w:r>
              <w:rPr>
                <w:rFonts w:ascii="Arial" w:cs="Arial" w:eastAsia="Arial" w:hAnsi="Arial"/>
                <w:b/>
                <w:bCs/>
                <w:color w:val="2C3E50"/>
                <w:sz w:val="17"/>
                <w:szCs w:val="17"/>
              </w:rPr>
              <w:t xml:space="preserve">①</w:t>
            </w:r>
          </w:p>
        </w:tc>
        <w:tc>
          <w:tcPr>
            <w:tcW w:type="dxa" w:w="2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jc w:val="left"/>
            </w:pPr>
            <w:r>
              <w:rPr>
                <w:rFonts w:ascii="Arial" w:cs="Arial" w:eastAsia="Arial" w:hAnsi="Arial"/>
                <w:b/>
                <w:bCs/>
                <w:color w:val="2C3E50"/>
                <w:sz w:val="17"/>
                <w:szCs w:val="17"/>
              </w:rPr>
              <w:t xml:space="preserve">Comfort Zone</w:t>
            </w:r>
          </w:p>
        </w:tc>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Safe, familiar, predictable. Professional &amp; personal growth stalls.</w:t>
            </w:r>
          </w:p>
        </w:tc>
        <w:tc>
          <w:tcPr>
            <w:tcW w:type="dxa" w:w="32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Avoids new tasks; relies on routine; resists stretch assignments.</w:t>
            </w:r>
          </w:p>
        </w:tc>
        <w:tc>
          <w:tcPr>
            <w:tcW w:type="dxa" w:w="4000"/>
            <w:tcBorders>
              <w:top w:val="single" w:color="CCCCCC" w:sz="4"/>
              <w:left w:val="single" w:color="CCCCCC" w:sz="4"/>
              <w:bottom w:val="single" w:color="CCCCCC" w:sz="4"/>
              <w:right w:val="single" w:color="CCCCCC" w:sz="4"/>
            </w:tcBorders>
            <w:shd w:fill="F5F5F5"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No excuses mindset; self-examination — understand own capacity; resolution to grow.</w:t>
            </w:r>
          </w:p>
        </w:tc>
      </w:tr>
      <w:tr>
        <w:tc>
          <w:tcPr>
            <w:tcW w:type="dxa" w:w="1800"/>
            <w:tcBorders>
              <w:top w:val="single" w:color="CCCCCC" w:sz="4"/>
              <w:left w:val="single" w:color="CCCCCC" w:sz="4"/>
              <w:bottom w:val="single" w:color="CCCCCC" w:sz="4"/>
              <w:right w:val="single" w:color="CCCCCC" w:sz="4"/>
            </w:tcBorders>
            <w:shd w:fill="FDEDEC" w:val="clear"/>
            <w:tcMar>
              <w:top w:type="dxa" w:w="60"/>
              <w:left w:type="dxa" w:w="100"/>
              <w:bottom w:type="dxa" w:w="60"/>
              <w:right w:type="dxa" w:w="100"/>
            </w:tcMar>
          </w:tcPr>
          <w:p>
            <w:pPr>
              <w:jc w:val="center"/>
            </w:pPr>
            <w:r>
              <w:rPr>
                <w:rFonts w:ascii="Arial" w:cs="Arial" w:eastAsia="Arial" w:hAnsi="Arial"/>
                <w:b/>
                <w:bCs/>
                <w:color w:val="C0392B"/>
                <w:sz w:val="17"/>
                <w:szCs w:val="17"/>
              </w:rPr>
              <w:t xml:space="preserve">②</w:t>
            </w:r>
          </w:p>
        </w:tc>
        <w:tc>
          <w:tcPr>
            <w:tcW w:type="dxa" w:w="2200"/>
            <w:tcBorders>
              <w:top w:val="single" w:color="CCCCCC" w:sz="4"/>
              <w:left w:val="single" w:color="CCCCCC" w:sz="4"/>
              <w:bottom w:val="single" w:color="CCCCCC" w:sz="4"/>
              <w:right w:val="single" w:color="CCCCCC" w:sz="4"/>
            </w:tcBorders>
            <w:shd w:fill="FDEDEC" w:val="clear"/>
            <w:tcMar>
              <w:top w:type="dxa" w:w="60"/>
              <w:left w:type="dxa" w:w="100"/>
              <w:bottom w:type="dxa" w:w="60"/>
              <w:right w:type="dxa" w:w="100"/>
            </w:tcMar>
          </w:tcPr>
          <w:p>
            <w:pPr>
              <w:jc w:val="left"/>
            </w:pPr>
            <w:r>
              <w:rPr>
                <w:rFonts w:ascii="Arial" w:cs="Arial" w:eastAsia="Arial" w:hAnsi="Arial"/>
                <w:b/>
                <w:bCs/>
                <w:color w:val="C0392B"/>
                <w:sz w:val="17"/>
                <w:szCs w:val="17"/>
              </w:rPr>
              <w:t xml:space="preserve">Fear Zone</w:t>
            </w:r>
          </w:p>
        </w:tc>
        <w:tc>
          <w:tcPr>
            <w:tcW w:type="dxa" w:w="3200"/>
            <w:tcBorders>
              <w:top w:val="single" w:color="CCCCCC" w:sz="4"/>
              <w:left w:val="single" w:color="CCCCCC" w:sz="4"/>
              <w:bottom w:val="single" w:color="CCCCCC" w:sz="4"/>
              <w:right w:val="single" w:color="CCCCCC" w:sz="4"/>
            </w:tcBorders>
            <w:shd w:fill="FDEDE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Discomfort triggers; self-doubt surfaces; external opinions matter.</w:t>
            </w:r>
          </w:p>
        </w:tc>
        <w:tc>
          <w:tcPr>
            <w:tcW w:type="dxa" w:w="3200"/>
            <w:tcBorders>
              <w:top w:val="single" w:color="CCCCCC" w:sz="4"/>
              <w:left w:val="single" w:color="CCCCCC" w:sz="4"/>
              <w:bottom w:val="single" w:color="CCCCCC" w:sz="4"/>
              <w:right w:val="single" w:color="CCCCCC" w:sz="4"/>
            </w:tcBorders>
            <w:shd w:fill="FDEDE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Reluctant to volunteer; fear of failure visible; avoids senior visibility.</w:t>
            </w:r>
          </w:p>
        </w:tc>
        <w:tc>
          <w:tcPr>
            <w:tcW w:type="dxa" w:w="4000"/>
            <w:tcBorders>
              <w:top w:val="single" w:color="CCCCCC" w:sz="4"/>
              <w:left w:val="single" w:color="CCCCCC" w:sz="4"/>
              <w:bottom w:val="single" w:color="CCCCCC" w:sz="4"/>
              <w:right w:val="single" w:color="CCCCCC" w:sz="4"/>
            </w:tcBorders>
            <w:shd w:fill="FDEDEC"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Acknowledge fear as normal; reframe failure as data; build psychological safety.</w:t>
            </w:r>
          </w:p>
        </w:tc>
      </w:tr>
      <w:tr>
        <w:tc>
          <w:tcPr>
            <w:tcW w:type="dxa" w:w="18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pPr>
              <w:jc w:val="center"/>
            </w:pPr>
            <w:r>
              <w:rPr>
                <w:rFonts w:ascii="Arial" w:cs="Arial" w:eastAsia="Arial" w:hAnsi="Arial"/>
                <w:b/>
                <w:bCs/>
                <w:color w:val="E67E22"/>
                <w:sz w:val="17"/>
                <w:szCs w:val="17"/>
              </w:rPr>
              <w:t xml:space="preserve">③</w:t>
            </w:r>
          </w:p>
        </w:tc>
        <w:tc>
          <w:tcPr>
            <w:tcW w:type="dxa" w:w="22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pPr>
              <w:jc w:val="left"/>
            </w:pPr>
            <w:r>
              <w:rPr>
                <w:rFonts w:ascii="Arial" w:cs="Arial" w:eastAsia="Arial" w:hAnsi="Arial"/>
                <w:b/>
                <w:bCs/>
                <w:color w:val="E67E22"/>
                <w:sz w:val="17"/>
                <w:szCs w:val="17"/>
              </w:rPr>
              <w:t xml:space="preserve">Learning Zone</w:t>
            </w:r>
          </w:p>
        </w:tc>
        <w:tc>
          <w:tcPr>
            <w:tcW w:type="dxa" w:w="32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Skill acquisition; trial &amp; error; competence begins to build.</w:t>
            </w:r>
          </w:p>
        </w:tc>
        <w:tc>
          <w:tcPr>
            <w:tcW w:type="dxa" w:w="32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Asks more questions; open to feedback; begins stretch tasks.</w:t>
            </w:r>
          </w:p>
        </w:tc>
        <w:tc>
          <w:tcPr>
            <w:tcW w:type="dxa" w:w="4000"/>
            <w:tcBorders>
              <w:top w:val="single" w:color="CCCCCC" w:sz="4"/>
              <w:left w:val="single" w:color="CCCCCC" w:sz="4"/>
              <w:bottom w:val="single" w:color="CCCCCC" w:sz="4"/>
              <w:right w:val="single" w:color="CCCCCC" w:sz="4"/>
            </w:tcBorders>
            <w:shd w:fill="FEF9E7"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Celebrate small wins; coach not criticise; allow structured risk-taking.</w:t>
            </w:r>
          </w:p>
        </w:tc>
      </w:tr>
      <w:tr>
        <w:tc>
          <w:tcPr>
            <w:tcW w:type="dxa" w:w="1800"/>
            <w:tcBorders>
              <w:top w:val="single" w:color="CCCCCC" w:sz="4"/>
              <w:left w:val="single" w:color="CCCCCC" w:sz="4"/>
              <w:bottom w:val="single" w:color="CCCCCC" w:sz="4"/>
              <w:right w:val="single" w:color="CCCCCC" w:sz="4"/>
            </w:tcBorders>
            <w:shd w:fill="EAFAF1" w:val="clear"/>
            <w:tcMar>
              <w:top w:type="dxa" w:w="60"/>
              <w:left w:type="dxa" w:w="100"/>
              <w:bottom w:type="dxa" w:w="60"/>
              <w:right w:type="dxa" w:w="100"/>
            </w:tcMar>
          </w:tcPr>
          <w:p>
            <w:pPr>
              <w:jc w:val="center"/>
            </w:pPr>
            <w:r>
              <w:rPr>
                <w:rFonts w:ascii="Arial" w:cs="Arial" w:eastAsia="Arial" w:hAnsi="Arial"/>
                <w:b/>
                <w:bCs/>
                <w:color w:val="1E8449"/>
                <w:sz w:val="17"/>
                <w:szCs w:val="17"/>
              </w:rPr>
              <w:t xml:space="preserve">④</w:t>
            </w:r>
          </w:p>
        </w:tc>
        <w:tc>
          <w:tcPr>
            <w:tcW w:type="dxa" w:w="2200"/>
            <w:tcBorders>
              <w:top w:val="single" w:color="CCCCCC" w:sz="4"/>
              <w:left w:val="single" w:color="CCCCCC" w:sz="4"/>
              <w:bottom w:val="single" w:color="CCCCCC" w:sz="4"/>
              <w:right w:val="single" w:color="CCCCCC" w:sz="4"/>
            </w:tcBorders>
            <w:shd w:fill="EAFAF1" w:val="clear"/>
            <w:tcMar>
              <w:top w:type="dxa" w:w="60"/>
              <w:left w:type="dxa" w:w="100"/>
              <w:bottom w:type="dxa" w:w="60"/>
              <w:right w:type="dxa" w:w="100"/>
            </w:tcMar>
          </w:tcPr>
          <w:p>
            <w:pPr>
              <w:jc w:val="left"/>
            </w:pPr>
            <w:r>
              <w:rPr>
                <w:rFonts w:ascii="Arial" w:cs="Arial" w:eastAsia="Arial" w:hAnsi="Arial"/>
                <w:b/>
                <w:bCs/>
                <w:color w:val="1E8449"/>
                <w:sz w:val="17"/>
                <w:szCs w:val="17"/>
              </w:rPr>
              <w:t xml:space="preserve">Growth Zone</w:t>
            </w:r>
          </w:p>
        </w:tc>
        <w:tc>
          <w:tcPr>
            <w:tcW w:type="dxa" w:w="3200"/>
            <w:tcBorders>
              <w:top w:val="single" w:color="CCCCCC" w:sz="4"/>
              <w:left w:val="single" w:color="CCCCCC" w:sz="4"/>
              <w:bottom w:val="single" w:color="CCCCCC" w:sz="4"/>
              <w:right w:val="single" w:color="CCCCCC" w:sz="4"/>
            </w:tcBorders>
            <w:shd w:fill="EAFAF1"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Mastery; confidence; ability to mentor others. New comfort zone established.</w:t>
            </w:r>
          </w:p>
        </w:tc>
        <w:tc>
          <w:tcPr>
            <w:tcW w:type="dxa" w:w="3200"/>
            <w:tcBorders>
              <w:top w:val="single" w:color="CCCCCC" w:sz="4"/>
              <w:left w:val="single" w:color="CCCCCC" w:sz="4"/>
              <w:bottom w:val="single" w:color="CCCCCC" w:sz="4"/>
              <w:right w:val="single" w:color="CCCCCC" w:sz="4"/>
            </w:tcBorders>
            <w:shd w:fill="EAFAF1"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Takes initiative; mentors peers; contributes beyond role description.</w:t>
            </w:r>
          </w:p>
        </w:tc>
        <w:tc>
          <w:tcPr>
            <w:tcW w:type="dxa" w:w="4000"/>
            <w:tcBorders>
              <w:top w:val="single" w:color="CCCCCC" w:sz="4"/>
              <w:left w:val="single" w:color="CCCCCC" w:sz="4"/>
              <w:bottom w:val="single" w:color="CCCCCC" w:sz="4"/>
              <w:right w:val="single" w:color="CCCCCC" w:sz="4"/>
            </w:tcBorders>
            <w:shd w:fill="EAFAF1"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Set bigger goals; assign leadership tasks; reward visible growth.</w:t>
            </w:r>
          </w:p>
        </w:tc>
      </w:tr>
      <w:tr>
        <w:tc>
          <w:tcPr>
            <w:tcW w:type="dxa" w:w="1800"/>
            <w:tcBorders>
              <w:top w:val="single" w:color="CCCCCC" w:sz="4"/>
              <w:left w:val="single" w:color="CCCCCC" w:sz="4"/>
              <w:bottom w:val="single" w:color="CCCCCC" w:sz="4"/>
              <w:right w:val="single" w:color="CCCCCC" w:sz="4"/>
            </w:tcBorders>
            <w:shd w:fill="F5EEF8" w:val="clear"/>
            <w:tcMar>
              <w:top w:type="dxa" w:w="60"/>
              <w:left w:type="dxa" w:w="100"/>
              <w:bottom w:type="dxa" w:w="60"/>
              <w:right w:type="dxa" w:w="100"/>
            </w:tcMar>
          </w:tcPr>
          <w:p>
            <w:pPr>
              <w:jc w:val="center"/>
            </w:pPr>
            <w:r>
              <w:rPr>
                <w:rFonts w:ascii="Arial" w:cs="Arial" w:eastAsia="Arial" w:hAnsi="Arial"/>
                <w:b/>
                <w:bCs/>
                <w:color w:val="6C3483"/>
                <w:sz w:val="17"/>
                <w:szCs w:val="17"/>
              </w:rPr>
              <w:t xml:space="preserve">⑤</w:t>
            </w:r>
          </w:p>
        </w:tc>
        <w:tc>
          <w:tcPr>
            <w:tcW w:type="dxa" w:w="2200"/>
            <w:tcBorders>
              <w:top w:val="single" w:color="CCCCCC" w:sz="4"/>
              <w:left w:val="single" w:color="CCCCCC" w:sz="4"/>
              <w:bottom w:val="single" w:color="CCCCCC" w:sz="4"/>
              <w:right w:val="single" w:color="CCCCCC" w:sz="4"/>
            </w:tcBorders>
            <w:shd w:fill="F5EEF8" w:val="clear"/>
            <w:tcMar>
              <w:top w:type="dxa" w:w="60"/>
              <w:left w:type="dxa" w:w="100"/>
              <w:bottom w:type="dxa" w:w="60"/>
              <w:right w:type="dxa" w:w="100"/>
            </w:tcMar>
          </w:tcPr>
          <w:p>
            <w:pPr>
              <w:jc w:val="left"/>
            </w:pPr>
            <w:r>
              <w:rPr>
                <w:rFonts w:ascii="Arial" w:cs="Arial" w:eastAsia="Arial" w:hAnsi="Arial"/>
                <w:b/>
                <w:bCs/>
                <w:color w:val="6C3483"/>
                <w:sz w:val="17"/>
                <w:szCs w:val="17"/>
              </w:rPr>
              <w:t xml:space="preserve">Slow Zone</w:t>
            </w:r>
          </w:p>
        </w:tc>
        <w:tc>
          <w:tcPr>
            <w:tcW w:type="dxa" w:w="3200"/>
            <w:tcBorders>
              <w:top w:val="single" w:color="CCCCCC" w:sz="4"/>
              <w:left w:val="single" w:color="CCCCCC" w:sz="4"/>
              <w:bottom w:val="single" w:color="CCCCCC" w:sz="4"/>
              <w:right w:val="single" w:color="CCCCCC" w:sz="4"/>
            </w:tcBorders>
            <w:shd w:fill="F5EE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Risk of stagnation post-growth if not re-challenged. Energy drops.</w:t>
            </w:r>
          </w:p>
        </w:tc>
        <w:tc>
          <w:tcPr>
            <w:tcW w:type="dxa" w:w="3200"/>
            <w:tcBorders>
              <w:top w:val="single" w:color="CCCCCC" w:sz="4"/>
              <w:left w:val="single" w:color="CCCCCC" w:sz="4"/>
              <w:bottom w:val="single" w:color="CCCCCC" w:sz="4"/>
              <w:right w:val="single" w:color="CCCCCC" w:sz="4"/>
            </w:tcBorders>
            <w:shd w:fill="F5EE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Output plateaus; disengagement signs; seeks no new challenges.</w:t>
            </w:r>
          </w:p>
        </w:tc>
        <w:tc>
          <w:tcPr>
            <w:tcW w:type="dxa" w:w="4000"/>
            <w:tcBorders>
              <w:top w:val="single" w:color="CCCCCC" w:sz="4"/>
              <w:left w:val="single" w:color="CCCCCC" w:sz="4"/>
              <w:bottom w:val="single" w:color="CCCCCC" w:sz="4"/>
              <w:right w:val="single" w:color="CCCCCC" w:sz="4"/>
            </w:tcBorders>
            <w:shd w:fill="F5EE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Re-introduce stretch; new learning goals; connect to organisational purpose.</w:t>
            </w:r>
          </w:p>
        </w:tc>
      </w:tr>
    </w:tbl>
    <w:p>
      <w:r>
        <w:br w:type="page"/>
      </w:r>
    </w:p>
    <w:p>
      <w:pPr>
        <w:pBdr>
          <w:bottom w:val="single" w:color="16A085" w:sz="8" w:space="1"/>
        </w:pBdr>
        <w:spacing w:after="80" w:before="160"/>
      </w:pPr>
      <w:r>
        <w:rPr>
          <w:rFonts w:ascii="Arial" w:cs="Arial" w:eastAsia="Arial" w:hAnsi="Arial"/>
          <w:b/>
          <w:bCs/>
          <w:color w:val="2C3E50"/>
          <w:sz w:val="26"/>
          <w:szCs w:val="26"/>
        </w:rPr>
        <w:t xml:space="preserve">3. The ASSUME Goal Achievement Model — Stage-by-Stage Breakdown</w:t>
      </w:r>
    </w:p>
    <w:p>
      <w:pPr>
        <w:spacing w:after="40" w:before="40"/>
      </w:pPr>
      <w:r>
        <w:rPr>
          <w:rFonts w:ascii="Arial" w:cs="Arial" w:eastAsia="Arial" w:hAnsi="Arial"/>
          <w:color w:val="1A1A1A"/>
          <w:sz w:val="18"/>
          <w:szCs w:val="18"/>
        </w:rPr>
        <w:t xml:space="preserve">The ASSUME model was presented as the structured pathway from goal-setting to achievement (target benchmark: 0.035). This model was mentioned in Report 1 only in summary; the table below provides a full operational breakdown for managers and team members to apply.</w:t>
      </w:r>
    </w:p>
    <w:p>
      <w:pPr>
        <w:spacing w:after="0" w:before="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000"/>
        <w:gridCol w:w="2800"/>
        <w:gridCol w:w="5600"/>
      </w:tblGrid>
      <w:tr>
        <w:trPr>
          <w:tblHeader/>
        </w:trPr>
        <w:tc>
          <w:tcPr>
            <w:tcW w:type="dxa" w:w="12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Stage</w:t>
            </w:r>
          </w:p>
        </w:tc>
        <w:tc>
          <w:tcPr>
            <w:tcW w:type="dxa" w:w="18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w:t>
            </w:r>
          </w:p>
        </w:tc>
        <w:tc>
          <w:tcPr>
            <w:tcW w:type="dxa" w:w="30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Happens</w:t>
            </w:r>
          </w:p>
        </w:tc>
        <w:tc>
          <w:tcPr>
            <w:tcW w:type="dxa" w:w="28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Team Member Role</w:t>
            </w:r>
          </w:p>
        </w:tc>
        <w:tc>
          <w:tcPr>
            <w:tcW w:type="dxa" w:w="56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Manager / Org Support</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16A085"/>
                <w:sz w:val="17"/>
                <w:szCs w:val="17"/>
              </w:rPr>
              <w:t xml:space="preserve">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2C3E50"/>
                <w:sz w:val="17"/>
                <w:szCs w:val="17"/>
              </w:rPr>
              <w:t xml:space="preserve">Set a Goal</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Commit to a clear, specific professional or personal objective (target: 0.035 achievement rate).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Write the goal; share with manager; set timeline.</w:t>
            </w:r>
          </w:p>
        </w:tc>
        <w:tc>
          <w:tcPr>
            <w:tcW w:type="dxa" w:w="5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Align individual goal to team/org objectives; embed in performance review cycle.</w:t>
            </w:r>
          </w:p>
        </w:tc>
      </w:tr>
      <w:tr>
        <w:tc>
          <w:tcPr>
            <w:tcW w:type="dxa" w:w="12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center"/>
            </w:pPr>
            <w:r>
              <w:rPr>
                <w:rFonts w:ascii="Arial" w:cs="Arial" w:eastAsia="Arial" w:hAnsi="Arial"/>
                <w:b/>
                <w:bCs/>
                <w:color w:val="16A085"/>
                <w:sz w:val="17"/>
                <w:szCs w:val="17"/>
              </w:rPr>
              <w:t xml:space="preserve">S</w:t>
            </w:r>
          </w:p>
        </w:tc>
        <w:tc>
          <w:tcPr>
            <w:tcW w:type="dxa" w:w="18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bCs/>
                <w:color w:val="2C3E50"/>
                <w:sz w:val="17"/>
                <w:szCs w:val="17"/>
              </w:rPr>
              <w:t xml:space="preserve">Start</w:t>
            </w:r>
          </w:p>
        </w:tc>
        <w:tc>
          <w:tcPr>
            <w:tcW w:type="dxa" w:w="3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Take the first concrete action. Momentum begins. The gap between intention and action is closed.</w:t>
            </w:r>
          </w:p>
        </w:tc>
        <w:tc>
          <w:tcPr>
            <w:tcW w:type="dxa" w:w="28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Break goal into micro-tasks; begin Day 1.</w:t>
            </w:r>
          </w:p>
        </w:tc>
        <w:tc>
          <w:tcPr>
            <w:tcW w:type="dxa" w:w="56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Remove blockers; provide resources; celebrate start, not just finish.</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16A085"/>
                <w:sz w:val="17"/>
                <w:szCs w:val="17"/>
              </w:rPr>
              <w:t xml:space="preserv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2C3E50"/>
                <w:sz w:val="17"/>
                <w:szCs w:val="17"/>
              </w:rPr>
              <w:t xml:space="preserve">Doubt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Internal resistance surfaces. 'Can I really do this?' is normal — it signals real challenge.</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Acknowledge doubt; do not quit; journal blockers.</w:t>
            </w:r>
          </w:p>
        </w:tc>
        <w:tc>
          <w:tcPr>
            <w:tcW w:type="dxa" w:w="5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Coach through doubt; normalise it; share own failure stories.</w:t>
            </w:r>
          </w:p>
        </w:tc>
      </w:tr>
      <w:tr>
        <w:tc>
          <w:tcPr>
            <w:tcW w:type="dxa" w:w="12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center"/>
            </w:pPr>
            <w:r>
              <w:rPr>
                <w:rFonts w:ascii="Arial" w:cs="Arial" w:eastAsia="Arial" w:hAnsi="Arial"/>
                <w:b/>
                <w:bCs/>
                <w:color w:val="16A085"/>
                <w:sz w:val="17"/>
                <w:szCs w:val="17"/>
              </w:rPr>
              <w:t xml:space="preserve">U</w:t>
            </w:r>
          </w:p>
        </w:tc>
        <w:tc>
          <w:tcPr>
            <w:tcW w:type="dxa" w:w="18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bCs/>
                <w:color w:val="2C3E50"/>
                <w:sz w:val="17"/>
                <w:szCs w:val="17"/>
              </w:rPr>
              <w:t xml:space="preserve">Learning</w:t>
            </w:r>
          </w:p>
        </w:tc>
        <w:tc>
          <w:tcPr>
            <w:tcW w:type="dxa" w:w="3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Skills and knowledge begin to grow. Mistakes become data. Competence builds incrementally.</w:t>
            </w:r>
          </w:p>
        </w:tc>
        <w:tc>
          <w:tcPr>
            <w:tcW w:type="dxa" w:w="28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Seek feedback actively; document what is working.</w:t>
            </w:r>
          </w:p>
        </w:tc>
        <w:tc>
          <w:tcPr>
            <w:tcW w:type="dxa" w:w="56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Schedule fortnightly check-ins; provide mentoring; recognise learning effort.</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16A085"/>
                <w:sz w:val="17"/>
                <w:szCs w:val="17"/>
              </w:rPr>
              <w:t xml:space="preserve">M</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2C3E50"/>
                <w:sz w:val="17"/>
                <w:szCs w:val="17"/>
              </w:rPr>
              <w:t xml:space="preserve">Fail / Float</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Setbacks occur. Failing forward — getting it, struggling, achieving — is the growth path.</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Reframe failure as iteration; persist through struggle.</w:t>
            </w:r>
          </w:p>
        </w:tc>
        <w:tc>
          <w:tcPr>
            <w:tcW w:type="dxa" w:w="5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Protect psychological safety; debrief failures constructively; avoid blame.</w:t>
            </w:r>
          </w:p>
        </w:tc>
      </w:tr>
      <w:tr>
        <w:tc>
          <w:tcPr>
            <w:tcW w:type="dxa" w:w="12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center"/>
            </w:pPr>
            <w:r>
              <w:rPr>
                <w:rFonts w:ascii="Arial" w:cs="Arial" w:eastAsia="Arial" w:hAnsi="Arial"/>
                <w:b/>
                <w:bCs/>
                <w:color w:val="16A085"/>
                <w:sz w:val="17"/>
                <w:szCs w:val="17"/>
              </w:rPr>
              <w:t xml:space="preserve">E</w:t>
            </w:r>
          </w:p>
        </w:tc>
        <w:tc>
          <w:tcPr>
            <w:tcW w:type="dxa" w:w="18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bCs/>
                <w:color w:val="2C3E50"/>
                <w:sz w:val="17"/>
                <w:szCs w:val="17"/>
              </w:rPr>
              <w:t xml:space="preserve">Practise</w:t>
            </w:r>
          </w:p>
        </w:tc>
        <w:tc>
          <w:tcPr>
            <w:tcW w:type="dxa" w:w="3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Repetition builds mastery. The skill becomes habit. Confidence replaces doubt.</w:t>
            </w:r>
          </w:p>
        </w:tc>
        <w:tc>
          <w:tcPr>
            <w:tcW w:type="dxa" w:w="28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Repeat deliberately; seek increasing challenge.</w:t>
            </w:r>
          </w:p>
        </w:tc>
        <w:tc>
          <w:tcPr>
            <w:tcW w:type="dxa" w:w="56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Provide practice opportunities; assign stretch tasks; give regular feedback.</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center"/>
            </w:pPr>
            <w:r>
              <w:rPr>
                <w:rFonts w:ascii="Arial" w:cs="Arial" w:eastAsia="Arial" w:hAnsi="Arial"/>
                <w:b/>
                <w:bCs/>
                <w:color w:val="16A085"/>
                <w:sz w:val="17"/>
                <w:szCs w:val="17"/>
              </w:rPr>
              <w:t xml:space="preserv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2C3E50"/>
                <w:sz w:val="17"/>
                <w:szCs w:val="17"/>
              </w:rPr>
              <w:t xml:space="preserve">Achieve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Goal realised (0.035 target). New baseline established. Cycle restarts at a higher level.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Celebrate, document, and share the win.</w:t>
            </w:r>
          </w:p>
        </w:tc>
        <w:tc>
          <w:tcPr>
            <w:tcW w:type="dxa" w:w="5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Formally recognise achievement; set next goal; build pipeline.</w:t>
            </w:r>
          </w:p>
        </w:tc>
      </w:tr>
    </w:tbl>
    <w:p>
      <w:pPr>
        <w:spacing w:after="0" w:before="80"/>
      </w:pPr>
      <w:r>
        <w:t xml:space="preserve"/>
      </w:r>
    </w:p>
    <w:p>
      <w:pPr>
        <w:pBdr>
          <w:bottom w:val="single" w:color="16A085" w:sz="8" w:space="1"/>
        </w:pBdr>
        <w:spacing w:after="80" w:before="160"/>
      </w:pPr>
      <w:r>
        <w:rPr>
          <w:rFonts w:ascii="Arial" w:cs="Arial" w:eastAsia="Arial" w:hAnsi="Arial"/>
          <w:b/>
          <w:bCs/>
          <w:color w:val="2C3E50"/>
          <w:sz w:val="26"/>
          <w:szCs w:val="26"/>
        </w:rPr>
        <w:t xml:space="preserve">4. Appropriate Attitude &amp; Behaviour — Full Dimension Analysis</w:t>
      </w:r>
    </w:p>
    <w:p>
      <w:pPr>
        <w:spacing w:after="40" w:before="40"/>
      </w:pPr>
      <w:r>
        <w:rPr>
          <w:rFonts w:ascii="Arial" w:cs="Arial" w:eastAsia="Arial" w:hAnsi="Arial"/>
          <w:color w:val="1A1A1A"/>
          <w:sz w:val="18"/>
          <w:szCs w:val="18"/>
        </w:rPr>
        <w:t xml:space="preserve">'Appropriate Attitude/Behaviour' was listed as a standalone topic in the training (alongside Etiquette, Dress, Communication, and Decision Making) but was not analysed as a separate area in Report 1. The table below covers six behavioural dimensions critical to workplace effectiveness.</w:t>
      </w:r>
    </w:p>
    <w:p>
      <w:pPr>
        <w:spacing w:after="0" w:before="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3000"/>
        <w:gridCol w:w="2800"/>
        <w:gridCol w:w="3600"/>
      </w:tblGrid>
      <w:tr>
        <w:trPr>
          <w:tblHeader/>
        </w:trPr>
        <w:tc>
          <w:tcPr>
            <w:tcW w:type="dxa" w:w="20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Dimension</w:t>
            </w:r>
          </w:p>
        </w:tc>
        <w:tc>
          <w:tcPr>
            <w:tcW w:type="dxa" w:w="30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Undesirable Behaviour (As-Is)</w:t>
            </w:r>
          </w:p>
        </w:tc>
        <w:tc>
          <w:tcPr>
            <w:tcW w:type="dxa" w:w="30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Appropriate Behaviour (To-Be)</w:t>
            </w:r>
          </w:p>
        </w:tc>
        <w:tc>
          <w:tcPr>
            <w:tcW w:type="dxa" w:w="28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Impact on Team</w:t>
            </w:r>
          </w:p>
        </w:tc>
        <w:tc>
          <w:tcPr>
            <w:tcW w:type="dxa" w:w="36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Improvement Strategy</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2C3E50"/>
                <w:sz w:val="17"/>
                <w:szCs w:val="17"/>
              </w:rPr>
              <w:t xml:space="preserve">Attitude Toward Work</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C0392B"/>
                <w:sz w:val="17"/>
                <w:szCs w:val="17"/>
              </w:rPr>
              <w:t xml:space="preserve">Views tasks as burdens; minimal discretionary effort; clock-watching.</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E8449"/>
                <w:sz w:val="17"/>
                <w:szCs w:val="17"/>
              </w:rPr>
              <w:t xml:space="preserve">Treats every task as a contribution to team success; goes beyond minimum.</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Low morale spreads; team output suffers; motivation decreases.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Link individual tasks to team goals; share impact stories; recognise effort.</w:t>
            </w:r>
          </w:p>
        </w:tc>
      </w:tr>
      <w:tr>
        <w:tc>
          <w:tcPr>
            <w:tcW w:type="dxa" w:w="2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bCs/>
                <w:color w:val="2C3E50"/>
                <w:sz w:val="17"/>
                <w:szCs w:val="17"/>
              </w:rPr>
              <w:t xml:space="preserve">Response to Feedback</w:t>
            </w:r>
          </w:p>
        </w:tc>
        <w:tc>
          <w:tcPr>
            <w:tcW w:type="dxa" w:w="3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C0392B"/>
                <w:sz w:val="17"/>
                <w:szCs w:val="17"/>
              </w:rPr>
              <w:t xml:space="preserve">Defensive reaction; dismisses criticism; repeats errors.</w:t>
            </w:r>
          </w:p>
        </w:tc>
        <w:tc>
          <w:tcPr>
            <w:tcW w:type="dxa" w:w="3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E8449"/>
                <w:sz w:val="17"/>
                <w:szCs w:val="17"/>
              </w:rPr>
              <w:t xml:space="preserve">Receives feedback as growth data; acts on it promptly; thanks the giver.</w:t>
            </w:r>
          </w:p>
        </w:tc>
        <w:tc>
          <w:tcPr>
            <w:tcW w:type="dxa" w:w="28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Trust erodes; coaching effectiveness drops; manager avoids difficult conversations.</w:t>
            </w:r>
          </w:p>
        </w:tc>
        <w:tc>
          <w:tcPr>
            <w:tcW w:type="dxa" w:w="36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Train active listening; model feedback culture from the top; reward improvement.</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2C3E50"/>
                <w:sz w:val="17"/>
                <w:szCs w:val="17"/>
              </w:rPr>
              <w:t xml:space="preserve">Ownership &amp; Accountability</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C0392B"/>
                <w:sz w:val="17"/>
                <w:szCs w:val="17"/>
              </w:rPr>
              <w:t xml:space="preserve">Blames others; deflects responsibility; waits to be told.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E8449"/>
                <w:sz w:val="17"/>
                <w:szCs w:val="17"/>
              </w:rPr>
              <w:t xml:space="preserve">Takes ownership of outcomes (good and bad); proactively communicates issues.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Blame culture forms; problems escalate silently; leadership trust drops.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Introduce accountability frameworks; celebrate honest reporting of problems.</w:t>
            </w:r>
          </w:p>
        </w:tc>
      </w:tr>
      <w:tr>
        <w:tc>
          <w:tcPr>
            <w:tcW w:type="dxa" w:w="2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bCs/>
                <w:color w:val="2C3E50"/>
                <w:sz w:val="17"/>
                <w:szCs w:val="17"/>
              </w:rPr>
              <w:t xml:space="preserve">Collaborative Behaviour</w:t>
            </w:r>
          </w:p>
        </w:tc>
        <w:tc>
          <w:tcPr>
            <w:tcW w:type="dxa" w:w="3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C0392B"/>
                <w:sz w:val="17"/>
                <w:szCs w:val="17"/>
              </w:rPr>
              <w:t xml:space="preserve">Hoards information; works in silos; competes destructively with peers.</w:t>
            </w:r>
          </w:p>
        </w:tc>
        <w:tc>
          <w:tcPr>
            <w:tcW w:type="dxa" w:w="3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E8449"/>
                <w:sz w:val="17"/>
                <w:szCs w:val="17"/>
              </w:rPr>
              <w:t xml:space="preserve">Shares knowledge proactively; supports team members; celebrates others' wins.</w:t>
            </w:r>
          </w:p>
        </w:tc>
        <w:tc>
          <w:tcPr>
            <w:tcW w:type="dxa" w:w="28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Duplication of effort; knowledge gaps; weak team cohesion.</w:t>
            </w:r>
          </w:p>
        </w:tc>
        <w:tc>
          <w:tcPr>
            <w:tcW w:type="dxa" w:w="36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Create collaborative goals; reward team performance, not just individual.</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2C3E50"/>
                <w:sz w:val="17"/>
                <w:szCs w:val="17"/>
              </w:rPr>
              <w:t xml:space="preserve">Resilience Under Pressure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C0392B"/>
                <w:sz w:val="17"/>
                <w:szCs w:val="17"/>
              </w:rPr>
              <w:t xml:space="preserve">Panic response to challenges; avoidance; escalates without attempting solution.</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E8449"/>
                <w:sz w:val="17"/>
                <w:szCs w:val="17"/>
              </w:rPr>
              <w:t xml:space="preserve">Stays calm; attempts solution first; escalates with context and options.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Manager overload; firefighting culture; slow response to crises.</w:t>
            </w:r>
          </w:p>
        </w:tc>
        <w:tc>
          <w:tcPr>
            <w:tcW w:type="dxa" w:w="36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Stress management training; scenario-based problem-solving workshops.</w:t>
            </w:r>
          </w:p>
        </w:tc>
      </w:tr>
      <w:tr>
        <w:tc>
          <w:tcPr>
            <w:tcW w:type="dxa" w:w="2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bCs/>
                <w:color w:val="2C3E50"/>
                <w:sz w:val="17"/>
                <w:szCs w:val="17"/>
              </w:rPr>
              <w:t xml:space="preserve">Punctuality &amp; Reliability</w:t>
            </w:r>
          </w:p>
        </w:tc>
        <w:tc>
          <w:tcPr>
            <w:tcW w:type="dxa" w:w="3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C0392B"/>
                <w:sz w:val="17"/>
                <w:szCs w:val="17"/>
              </w:rPr>
              <w:t xml:space="preserve">Chronic lateness; missed commitments; vague timelines.</w:t>
            </w:r>
          </w:p>
        </w:tc>
        <w:tc>
          <w:tcPr>
            <w:tcW w:type="dxa" w:w="3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E8449"/>
                <w:sz w:val="17"/>
                <w:szCs w:val="17"/>
              </w:rPr>
              <w:t xml:space="preserve">Arrives on time; meets commitments; communicates proactively on delays.</w:t>
            </w:r>
          </w:p>
        </w:tc>
        <w:tc>
          <w:tcPr>
            <w:tcW w:type="dxa" w:w="28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Ripple effect on team schedules; reduced trust; meeting culture degrades.</w:t>
            </w:r>
          </w:p>
        </w:tc>
        <w:tc>
          <w:tcPr>
            <w:tcW w:type="dxa" w:w="36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Set clear expectations; track reliability; build it into performance criteria.</w:t>
            </w:r>
          </w:p>
        </w:tc>
      </w:tr>
    </w:tbl>
    <w:p>
      <w:r>
        <w:br w:type="page"/>
      </w:r>
    </w:p>
    <w:p>
      <w:pPr>
        <w:pBdr>
          <w:bottom w:val="single" w:color="16A085" w:sz="8" w:space="1"/>
        </w:pBdr>
        <w:spacing w:after="80" w:before="160"/>
      </w:pPr>
      <w:r>
        <w:rPr>
          <w:rFonts w:ascii="Arial" w:cs="Arial" w:eastAsia="Arial" w:hAnsi="Arial"/>
          <w:b/>
          <w:bCs/>
          <w:color w:val="2C3E50"/>
          <w:sz w:val="26"/>
          <w:szCs w:val="26"/>
        </w:rPr>
        <w:t xml:space="preserve">5. Teamwork &amp; Stress Management — Gap Analysis &amp; Recommendations</w:t>
      </w:r>
    </w:p>
    <w:p>
      <w:pPr>
        <w:spacing w:after="40" w:before="40"/>
      </w:pPr>
      <w:r>
        <w:rPr>
          <w:rFonts w:ascii="Arial" w:cs="Arial" w:eastAsia="Arial" w:hAnsi="Arial"/>
          <w:color w:val="1A1A1A"/>
          <w:sz w:val="18"/>
          <w:szCs w:val="18"/>
        </w:rPr>
        <w:t xml:space="preserve">Teamwork and Managing Stress were listed as distinct programme topics. While briefly mentioned in Report 1, no detailed gap analysis or improvement framework was provided. The table below addresses both areas with current-state observations, recommended practices, root causes, and measurable outcomes.</w:t>
      </w:r>
    </w:p>
    <w:p>
      <w:pPr>
        <w:spacing w:after="0" w:before="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3000"/>
        <w:gridCol w:w="2400"/>
        <w:gridCol w:w="4200"/>
      </w:tblGrid>
      <w:tr>
        <w:trPr>
          <w:tblHeader/>
        </w:trPr>
        <w:tc>
          <w:tcPr>
            <w:tcW w:type="dxa" w:w="20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Area</w:t>
            </w:r>
          </w:p>
        </w:tc>
        <w:tc>
          <w:tcPr>
            <w:tcW w:type="dxa" w:w="28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Current State</w:t>
            </w:r>
          </w:p>
        </w:tc>
        <w:tc>
          <w:tcPr>
            <w:tcW w:type="dxa" w:w="30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Recommended Practice</w:t>
            </w:r>
          </w:p>
        </w:tc>
        <w:tc>
          <w:tcPr>
            <w:tcW w:type="dxa" w:w="24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Root Cause of Gap</w:t>
            </w:r>
          </w:p>
        </w:tc>
        <w:tc>
          <w:tcPr>
            <w:tcW w:type="dxa" w:w="42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Measurable Outcome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2C3E50"/>
                <w:sz w:val="17"/>
                <w:szCs w:val="17"/>
              </w:rPr>
              <w:t xml:space="preserve">Team Communication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C0392B"/>
                <w:sz w:val="17"/>
                <w:szCs w:val="17"/>
              </w:rPr>
              <w:t xml:space="preserve">Information shared only when asked; updates given reactively.</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E8449"/>
                <w:sz w:val="17"/>
                <w:szCs w:val="17"/>
              </w:rPr>
              <w:t xml:space="preserve">Proactive status updates; transparent sharing of blockers and progress.</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No structured communication rhythm; culture of 'need to know'.</w:t>
            </w:r>
          </w:p>
        </w:tc>
        <w:tc>
          <w:tcPr>
            <w:tcW w:type="dxa" w:w="4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Fewer escalations; faster problem resolution; higher trust scores.</w:t>
            </w:r>
          </w:p>
        </w:tc>
      </w:tr>
      <w:tr>
        <w:tc>
          <w:tcPr>
            <w:tcW w:type="dxa" w:w="2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bCs/>
                <w:color w:val="2C3E50"/>
                <w:sz w:val="17"/>
                <w:szCs w:val="17"/>
              </w:rPr>
              <w:t xml:space="preserve">Role Clarity in Teams</w:t>
            </w:r>
          </w:p>
        </w:tc>
        <w:tc>
          <w:tcPr>
            <w:tcW w:type="dxa" w:w="28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C0392B"/>
                <w:sz w:val="17"/>
                <w:szCs w:val="17"/>
              </w:rPr>
              <w:t xml:space="preserve">Overlapping responsibilities; confusion over who owns what.</w:t>
            </w:r>
          </w:p>
        </w:tc>
        <w:tc>
          <w:tcPr>
            <w:tcW w:type="dxa" w:w="3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E8449"/>
                <w:sz w:val="17"/>
                <w:szCs w:val="17"/>
              </w:rPr>
              <w:t xml:space="preserve">Clear role definition per project; RACI-style ownership communicated.</w:t>
            </w:r>
          </w:p>
        </w:tc>
        <w:tc>
          <w:tcPr>
            <w:tcW w:type="dxa" w:w="24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Teams assembled without formal role briefing.</w:t>
            </w:r>
          </w:p>
        </w:tc>
        <w:tc>
          <w:tcPr>
            <w:tcW w:type="dxa" w:w="42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Reduced duplication; faster decisions; clear accountability.</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2C3E50"/>
                <w:sz w:val="17"/>
                <w:szCs w:val="17"/>
              </w:rPr>
              <w:t xml:space="preserve">Peer Recognition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C0392B"/>
                <w:sz w:val="17"/>
                <w:szCs w:val="17"/>
              </w:rPr>
              <w:t xml:space="preserve">Wins are individual; team contributions go unrecognised.</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E8449"/>
                <w:sz w:val="17"/>
                <w:szCs w:val="17"/>
              </w:rPr>
              <w:t xml:space="preserve">Regular peer shout-outs; celebrate team milestones collectively.</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Recognition is top-down only; peer voice not valued.</w:t>
            </w:r>
          </w:p>
        </w:tc>
        <w:tc>
          <w:tcPr>
            <w:tcW w:type="dxa" w:w="4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Improved team morale; higher retention; stronger collaboration.</w:t>
            </w:r>
          </w:p>
        </w:tc>
      </w:tr>
      <w:tr>
        <w:tc>
          <w:tcPr>
            <w:tcW w:type="dxa" w:w="2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bCs/>
                <w:color w:val="2C3E50"/>
                <w:sz w:val="17"/>
                <w:szCs w:val="17"/>
              </w:rPr>
              <w:t xml:space="preserve">Stress Identification</w:t>
            </w:r>
          </w:p>
        </w:tc>
        <w:tc>
          <w:tcPr>
            <w:tcW w:type="dxa" w:w="28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C0392B"/>
                <w:sz w:val="17"/>
                <w:szCs w:val="17"/>
              </w:rPr>
              <w:t xml:space="preserve">Stress is personal; not discussed; often confused with workload.</w:t>
            </w:r>
          </w:p>
        </w:tc>
        <w:tc>
          <w:tcPr>
            <w:tcW w:type="dxa" w:w="3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E8449"/>
                <w:sz w:val="17"/>
                <w:szCs w:val="17"/>
              </w:rPr>
              <w:t xml:space="preserve">Team leads check in weekly; normalise stress conversations; identify early signs.</w:t>
            </w:r>
          </w:p>
        </w:tc>
        <w:tc>
          <w:tcPr>
            <w:tcW w:type="dxa" w:w="24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No structured stress check-in mechanism; stigma around mental health.</w:t>
            </w:r>
          </w:p>
        </w:tc>
        <w:tc>
          <w:tcPr>
            <w:tcW w:type="dxa" w:w="42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Early intervention; reduced absenteeism; healthier output quality.</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bCs/>
                <w:color w:val="2C3E50"/>
                <w:sz w:val="17"/>
                <w:szCs w:val="17"/>
              </w:rPr>
              <w:t xml:space="preserve">Stress Mitigation</w:t>
            </w:r>
          </w:p>
        </w:tc>
        <w:tc>
          <w:tcPr>
            <w:tcW w:type="dxa" w:w="2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C0392B"/>
                <w:sz w:val="17"/>
                <w:szCs w:val="17"/>
              </w:rPr>
              <w:t xml:space="preserve">Ad hoc coping; some over-work, some disengage.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E8449"/>
                <w:sz w:val="17"/>
                <w:szCs w:val="17"/>
              </w:rPr>
              <w:t xml:space="preserve">Plan and organise workload proactively; use growth zone practices to build resilience.</w:t>
            </w:r>
          </w:p>
        </w:tc>
        <w:tc>
          <w:tcPr>
            <w:tcW w:type="dxa" w:w="24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No organisational stress-management framework or resources provided.</w:t>
            </w:r>
          </w:p>
        </w:tc>
        <w:tc>
          <w:tcPr>
            <w:tcW w:type="dxa" w:w="42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Sustained productivity; lower burnout rates; improved engagement scores.</w:t>
            </w:r>
          </w:p>
        </w:tc>
      </w:tr>
      <w:tr>
        <w:tc>
          <w:tcPr>
            <w:tcW w:type="dxa" w:w="2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bCs/>
                <w:color w:val="2C3E50"/>
                <w:sz w:val="17"/>
                <w:szCs w:val="17"/>
              </w:rPr>
              <w:t xml:space="preserve">Decision Under Stress</w:t>
            </w:r>
          </w:p>
        </w:tc>
        <w:tc>
          <w:tcPr>
            <w:tcW w:type="dxa" w:w="28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C0392B"/>
                <w:sz w:val="17"/>
                <w:szCs w:val="17"/>
              </w:rPr>
              <w:t xml:space="preserve">Reactive, emotion-driven decisions during pressure periods.</w:t>
            </w:r>
          </w:p>
        </w:tc>
        <w:tc>
          <w:tcPr>
            <w:tcW w:type="dxa" w:w="30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E8449"/>
                <w:sz w:val="17"/>
                <w:szCs w:val="17"/>
              </w:rPr>
              <w:t xml:space="preserve">Apply Eisenhower Matrix even under pressure; pause before escalating.</w:t>
            </w:r>
          </w:p>
        </w:tc>
        <w:tc>
          <w:tcPr>
            <w:tcW w:type="dxa" w:w="24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No decision framework embedded in team culture.</w:t>
            </w:r>
          </w:p>
        </w:tc>
        <w:tc>
          <w:tcPr>
            <w:tcW w:type="dxa" w:w="4200"/>
            <w:tcBorders>
              <w:top w:val="single" w:color="CCCCCC" w:sz="4"/>
              <w:left w:val="single" w:color="CCCCCC" w:sz="4"/>
              <w:bottom w:val="single" w:color="CCCCCC" w:sz="4"/>
              <w:right w:val="single" w:color="CCCCCC" w:sz="4"/>
            </w:tcBorders>
            <w:shd w:fill="F0FAF8" w:val="clear"/>
            <w:tcMar>
              <w:top w:type="dxa" w:w="60"/>
              <w:left w:type="dxa" w:w="100"/>
              <w:bottom w:type="dxa" w:w="60"/>
              <w:right w:type="dxa" w:w="100"/>
            </w:tcMar>
          </w:tcPr>
          <w:p>
            <w:pPr>
              <w:jc w:val="left"/>
            </w:pPr>
            <w:r>
              <w:rPr>
                <w:rFonts w:ascii="Arial" w:cs="Arial" w:eastAsia="Arial" w:hAnsi="Arial"/>
                <w:b w:val="false"/>
                <w:bCs w:val="false"/>
                <w:color w:val="1A1A1A"/>
                <w:sz w:val="17"/>
                <w:szCs w:val="17"/>
              </w:rPr>
              <w:t xml:space="preserve">Consistent decision quality regardless of pressure level.</w:t>
            </w:r>
          </w:p>
        </w:tc>
      </w:tr>
    </w:tbl>
    <w:p>
      <w:pPr>
        <w:spacing w:after="0" w:before="80"/>
      </w:pPr>
      <w:r>
        <w:t xml:space="preserve"/>
      </w:r>
    </w:p>
    <w:p>
      <w:pPr>
        <w:pBdr>
          <w:bottom w:val="single" w:color="16A085" w:sz="8" w:space="1"/>
        </w:pBdr>
        <w:spacing w:after="80" w:before="160"/>
      </w:pPr>
      <w:r>
        <w:rPr>
          <w:rFonts w:ascii="Arial" w:cs="Arial" w:eastAsia="Arial" w:hAnsi="Arial"/>
          <w:b/>
          <w:bCs/>
          <w:color w:val="2C3E50"/>
          <w:sz w:val="26"/>
          <w:szCs w:val="26"/>
        </w:rPr>
        <w:t xml:space="preserve">6. Integrated Improvement Framework — Connecting All Uncovered Topics</w:t>
      </w:r>
    </w:p>
    <w:p>
      <w:pPr>
        <w:spacing w:after="0" w:before="4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gridCol w:w="3600"/>
      </w:tblGrid>
      <w:tr>
        <w:trPr>
          <w:tblHeader/>
        </w:trPr>
        <w:tc>
          <w:tcPr>
            <w:tcW w:type="dxa" w:w="36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Zone Model Application</w:t>
            </w:r>
          </w:p>
        </w:tc>
        <w:tc>
          <w:tcPr>
            <w:tcW w:type="dxa" w:w="36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ASSUME in Practice</w:t>
            </w:r>
          </w:p>
        </w:tc>
        <w:tc>
          <w:tcPr>
            <w:tcW w:type="dxa" w:w="36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Attitude in Daily Work</w:t>
            </w:r>
          </w:p>
        </w:tc>
        <w:tc>
          <w:tcPr>
            <w:tcW w:type="dxa" w:w="3600"/>
            <w:tcBorders>
              <w:top w:val="single" w:color="16A085" w:sz="4"/>
              <w:left w:val="single" w:color="16A085" w:sz="4"/>
              <w:bottom w:val="single" w:color="16A085" w:sz="4"/>
              <w:right w:val="single" w:color="16A085" w:sz="4"/>
            </w:tcBorders>
            <w:shd w:fill="2C3E50"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Team &amp; Stress Practices</w:t>
            </w:r>
          </w:p>
        </w:tc>
      </w:tr>
      <w:tr>
        <w:tc>
          <w:tcPr>
            <w:tcW w:type="dxa" w:w="3600"/>
            <w:tcBorders>
              <w:top w:val="single" w:color="CCCCCC" w:sz="4"/>
              <w:left w:val="single" w:color="CCCCCC" w:sz="4"/>
              <w:bottom w:val="single" w:color="CCCCCC" w:sz="4"/>
              <w:right w:val="single" w:color="CCCCCC" w:sz="4"/>
            </w:tcBorders>
            <w:shd w:fill="D1F2EB" w:val="clear"/>
            <w:tcMar>
              <w:top w:type="dxa" w:w="80"/>
              <w:left w:type="dxa" w:w="100"/>
              <w:bottom w:type="dxa" w:w="80"/>
              <w:right w:type="dxa" w:w="100"/>
            </w:tcMar>
          </w:tcPr>
          <w:p>
            <w:pPr>
              <w:pStyle w:val="ListParagraph"/>
              <w:numPr>
                <w:ilvl w:val="0"/>
                <w:numId w:val="2"/>
              </w:numPr>
              <w:spacing w:after="28" w:before="28"/>
            </w:pPr>
            <w:r>
              <w:rPr>
                <w:rFonts w:ascii="Arial" w:cs="Arial" w:eastAsia="Arial" w:hAnsi="Arial"/>
                <w:color w:val="1A1A1A"/>
                <w:sz w:val="17"/>
                <w:szCs w:val="17"/>
              </w:rPr>
              <w:t xml:space="preserve">Identify which zone each team member is in</w:t>
            </w:r>
          </w:p>
          <w:p>
            <w:pPr>
              <w:pStyle w:val="ListParagraph"/>
              <w:numPr>
                <w:ilvl w:val="0"/>
                <w:numId w:val="2"/>
              </w:numPr>
              <w:spacing w:after="28" w:before="28"/>
            </w:pPr>
            <w:r>
              <w:rPr>
                <w:rFonts w:ascii="Arial" w:cs="Arial" w:eastAsia="Arial" w:hAnsi="Arial"/>
                <w:color w:val="1A1A1A"/>
                <w:sz w:val="17"/>
                <w:szCs w:val="17"/>
              </w:rPr>
              <w:t xml:space="preserve">Design quarterly challenges to push into Learning Zone</w:t>
            </w:r>
          </w:p>
          <w:p>
            <w:pPr>
              <w:pStyle w:val="ListParagraph"/>
              <w:numPr>
                <w:ilvl w:val="0"/>
                <w:numId w:val="2"/>
              </w:numPr>
              <w:spacing w:after="28" w:before="28"/>
            </w:pPr>
            <w:r>
              <w:rPr>
                <w:rFonts w:ascii="Arial" w:cs="Arial" w:eastAsia="Arial" w:hAnsi="Arial"/>
                <w:color w:val="1A1A1A"/>
                <w:sz w:val="17"/>
                <w:szCs w:val="17"/>
              </w:rPr>
              <w:t xml:space="preserve">Celebrate movement from Fear to Learning Zone</w:t>
            </w:r>
          </w:p>
          <w:p>
            <w:pPr>
              <w:pStyle w:val="ListParagraph"/>
              <w:numPr>
                <w:ilvl w:val="0"/>
                <w:numId w:val="2"/>
              </w:numPr>
              <w:spacing w:after="28" w:before="28"/>
            </w:pPr>
            <w:r>
              <w:rPr>
                <w:rFonts w:ascii="Arial" w:cs="Arial" w:eastAsia="Arial" w:hAnsi="Arial"/>
                <w:color w:val="1A1A1A"/>
                <w:sz w:val="17"/>
                <w:szCs w:val="17"/>
              </w:rPr>
              <w:t xml:space="preserve">Use Growth Zone members as internal mentors</w:t>
            </w:r>
          </w:p>
          <w:p>
            <w:pPr>
              <w:pStyle w:val="ListParagraph"/>
              <w:numPr>
                <w:ilvl w:val="0"/>
                <w:numId w:val="2"/>
              </w:numPr>
              <w:spacing w:after="28" w:before="28"/>
            </w:pPr>
            <w:r>
              <w:rPr>
                <w:rFonts w:ascii="Arial" w:cs="Arial" w:eastAsia="Arial" w:hAnsi="Arial"/>
                <w:color w:val="1A1A1A"/>
                <w:sz w:val="17"/>
                <w:szCs w:val="17"/>
              </w:rPr>
              <w:t xml:space="preserve">Watch for Slow Zone — re-challenge immediately</w:t>
            </w:r>
          </w:p>
        </w:tc>
        <w:tc>
          <w:tcPr>
            <w:tcW w:type="dxa" w:w="3600"/>
            <w:tcBorders>
              <w:top w:val="single" w:color="CCCCCC" w:sz="4"/>
              <w:left w:val="single" w:color="CCCCCC" w:sz="4"/>
              <w:bottom w:val="single" w:color="CCCCCC" w:sz="4"/>
              <w:right w:val="single" w:color="CCCCCC" w:sz="4"/>
            </w:tcBorders>
            <w:shd w:fill="F0FAF8" w:val="clear"/>
            <w:tcMar>
              <w:top w:type="dxa" w:w="80"/>
              <w:left w:type="dxa" w:w="100"/>
              <w:bottom w:type="dxa" w:w="80"/>
              <w:right w:type="dxa" w:w="100"/>
            </w:tcMar>
          </w:tcPr>
          <w:p>
            <w:pPr>
              <w:pStyle w:val="ListParagraph"/>
              <w:numPr>
                <w:ilvl w:val="0"/>
                <w:numId w:val="2"/>
              </w:numPr>
              <w:spacing w:after="28" w:before="28"/>
            </w:pPr>
            <w:r>
              <w:rPr>
                <w:rFonts w:ascii="Arial" w:cs="Arial" w:eastAsia="Arial" w:hAnsi="Arial"/>
                <w:color w:val="1A1A1A"/>
                <w:sz w:val="17"/>
                <w:szCs w:val="17"/>
              </w:rPr>
              <w:t xml:space="preserve">Set one ASSUME goal per quarter per team member</w:t>
            </w:r>
          </w:p>
          <w:p>
            <w:pPr>
              <w:pStyle w:val="ListParagraph"/>
              <w:numPr>
                <w:ilvl w:val="0"/>
                <w:numId w:val="2"/>
              </w:numPr>
              <w:spacing w:after="28" w:before="28"/>
            </w:pPr>
            <w:r>
              <w:rPr>
                <w:rFonts w:ascii="Arial" w:cs="Arial" w:eastAsia="Arial" w:hAnsi="Arial"/>
                <w:color w:val="1A1A1A"/>
                <w:sz w:val="17"/>
                <w:szCs w:val="17"/>
              </w:rPr>
              <w:t xml:space="preserve">Normalise Doubt &amp; Fail stages in team conversations</w:t>
            </w:r>
          </w:p>
          <w:p>
            <w:pPr>
              <w:pStyle w:val="ListParagraph"/>
              <w:numPr>
                <w:ilvl w:val="0"/>
                <w:numId w:val="2"/>
              </w:numPr>
              <w:spacing w:after="28" w:before="28"/>
            </w:pPr>
            <w:r>
              <w:rPr>
                <w:rFonts w:ascii="Arial" w:cs="Arial" w:eastAsia="Arial" w:hAnsi="Arial"/>
                <w:color w:val="1A1A1A"/>
                <w:sz w:val="17"/>
                <w:szCs w:val="17"/>
              </w:rPr>
              <w:t xml:space="preserve">Log learning from each failed attempt</w:t>
            </w:r>
          </w:p>
          <w:p>
            <w:pPr>
              <w:pStyle w:val="ListParagraph"/>
              <w:numPr>
                <w:ilvl w:val="0"/>
                <w:numId w:val="2"/>
              </w:numPr>
              <w:spacing w:after="28" w:before="28"/>
            </w:pPr>
            <w:r>
              <w:rPr>
                <w:rFonts w:ascii="Arial" w:cs="Arial" w:eastAsia="Arial" w:hAnsi="Arial"/>
                <w:color w:val="1A1A1A"/>
                <w:sz w:val="17"/>
                <w:szCs w:val="17"/>
              </w:rPr>
              <w:t xml:space="preserve">Integrate Practise stage into weekly routine</w:t>
            </w:r>
          </w:p>
          <w:p>
            <w:pPr>
              <w:pStyle w:val="ListParagraph"/>
              <w:numPr>
                <w:ilvl w:val="0"/>
                <w:numId w:val="2"/>
              </w:numPr>
              <w:spacing w:after="28" w:before="28"/>
            </w:pPr>
            <w:r>
              <w:rPr>
                <w:rFonts w:ascii="Arial" w:cs="Arial" w:eastAsia="Arial" w:hAnsi="Arial"/>
                <w:color w:val="1A1A1A"/>
                <w:sz w:val="17"/>
                <w:szCs w:val="17"/>
              </w:rPr>
              <w:t xml:space="preserve">Recognise Achieve moments publicly</w:t>
            </w:r>
          </w:p>
        </w:tc>
        <w:tc>
          <w:tcPr>
            <w:tcW w:type="dxa" w:w="3600"/>
            <w:tcBorders>
              <w:top w:val="single" w:color="CCCCCC" w:sz="4"/>
              <w:left w:val="single" w:color="CCCCCC" w:sz="4"/>
              <w:bottom w:val="single" w:color="CCCCCC" w:sz="4"/>
              <w:right w:val="single" w:color="CCCCCC" w:sz="4"/>
            </w:tcBorders>
            <w:shd w:fill="D1F2EB" w:val="clear"/>
            <w:tcMar>
              <w:top w:type="dxa" w:w="80"/>
              <w:left w:type="dxa" w:w="100"/>
              <w:bottom w:type="dxa" w:w="80"/>
              <w:right w:type="dxa" w:w="100"/>
            </w:tcMar>
          </w:tcPr>
          <w:p>
            <w:pPr>
              <w:pStyle w:val="ListParagraph"/>
              <w:numPr>
                <w:ilvl w:val="0"/>
                <w:numId w:val="2"/>
              </w:numPr>
              <w:spacing w:after="28" w:before="28"/>
            </w:pPr>
            <w:r>
              <w:rPr>
                <w:rFonts w:ascii="Arial" w:cs="Arial" w:eastAsia="Arial" w:hAnsi="Arial"/>
                <w:color w:val="1A1A1A"/>
                <w:sz w:val="17"/>
                <w:szCs w:val="17"/>
              </w:rPr>
              <w:t xml:space="preserve">Start each week with an attitude check-in</w:t>
            </w:r>
          </w:p>
          <w:p>
            <w:pPr>
              <w:pStyle w:val="ListParagraph"/>
              <w:numPr>
                <w:ilvl w:val="0"/>
                <w:numId w:val="2"/>
              </w:numPr>
              <w:spacing w:after="28" w:before="28"/>
            </w:pPr>
            <w:r>
              <w:rPr>
                <w:rFonts w:ascii="Arial" w:cs="Arial" w:eastAsia="Arial" w:hAnsi="Arial"/>
                <w:color w:val="1A1A1A"/>
                <w:sz w:val="17"/>
                <w:szCs w:val="17"/>
              </w:rPr>
              <w:t xml:space="preserve">Model ownership behaviour from leadership</w:t>
            </w:r>
          </w:p>
          <w:p>
            <w:pPr>
              <w:pStyle w:val="ListParagraph"/>
              <w:numPr>
                <w:ilvl w:val="0"/>
                <w:numId w:val="2"/>
              </w:numPr>
              <w:spacing w:after="28" w:before="28"/>
            </w:pPr>
            <w:r>
              <w:rPr>
                <w:rFonts w:ascii="Arial" w:cs="Arial" w:eastAsia="Arial" w:hAnsi="Arial"/>
                <w:color w:val="1A1A1A"/>
                <w:sz w:val="17"/>
                <w:szCs w:val="17"/>
              </w:rPr>
              <w:t xml:space="preserve">Create a zero-blame debrief culture</w:t>
            </w:r>
          </w:p>
          <w:p>
            <w:pPr>
              <w:pStyle w:val="ListParagraph"/>
              <w:numPr>
                <w:ilvl w:val="0"/>
                <w:numId w:val="2"/>
              </w:numPr>
              <w:spacing w:after="28" w:before="28"/>
            </w:pPr>
            <w:r>
              <w:rPr>
                <w:rFonts w:ascii="Arial" w:cs="Arial" w:eastAsia="Arial" w:hAnsi="Arial"/>
                <w:color w:val="1A1A1A"/>
                <w:sz w:val="17"/>
                <w:szCs w:val="17"/>
              </w:rPr>
              <w:t xml:space="preserve">Reward resilience, not just results</w:t>
            </w:r>
          </w:p>
          <w:p>
            <w:pPr>
              <w:pStyle w:val="ListParagraph"/>
              <w:numPr>
                <w:ilvl w:val="0"/>
                <w:numId w:val="2"/>
              </w:numPr>
              <w:spacing w:after="28" w:before="28"/>
            </w:pPr>
            <w:r>
              <w:rPr>
                <w:rFonts w:ascii="Arial" w:cs="Arial" w:eastAsia="Arial" w:hAnsi="Arial"/>
                <w:color w:val="1A1A1A"/>
                <w:sz w:val="17"/>
                <w:szCs w:val="17"/>
              </w:rPr>
              <w:t xml:space="preserve">Feedback to be timely, specific, and kind</w:t>
            </w:r>
          </w:p>
        </w:tc>
        <w:tc>
          <w:tcPr>
            <w:tcW w:type="dxa" w:w="3600"/>
            <w:tcBorders>
              <w:top w:val="single" w:color="CCCCCC" w:sz="4"/>
              <w:left w:val="single" w:color="CCCCCC" w:sz="4"/>
              <w:bottom w:val="single" w:color="CCCCCC" w:sz="4"/>
              <w:right w:val="single" w:color="CCCCCC" w:sz="4"/>
            </w:tcBorders>
            <w:shd w:fill="F0FAF8" w:val="clear"/>
            <w:tcMar>
              <w:top w:type="dxa" w:w="80"/>
              <w:left w:type="dxa" w:w="100"/>
              <w:bottom w:type="dxa" w:w="80"/>
              <w:right w:type="dxa" w:w="100"/>
            </w:tcMar>
          </w:tcPr>
          <w:p>
            <w:pPr>
              <w:pStyle w:val="ListParagraph"/>
              <w:numPr>
                <w:ilvl w:val="0"/>
                <w:numId w:val="2"/>
              </w:numPr>
              <w:spacing w:after="28" w:before="28"/>
            </w:pPr>
            <w:r>
              <w:rPr>
                <w:rFonts w:ascii="Arial" w:cs="Arial" w:eastAsia="Arial" w:hAnsi="Arial"/>
                <w:color w:val="1A1A1A"/>
                <w:sz w:val="17"/>
                <w:szCs w:val="17"/>
              </w:rPr>
              <w:t xml:space="preserve">Weekly 5-min stress check-in by team leads</w:t>
            </w:r>
          </w:p>
          <w:p>
            <w:pPr>
              <w:pStyle w:val="ListParagraph"/>
              <w:numPr>
                <w:ilvl w:val="0"/>
                <w:numId w:val="2"/>
              </w:numPr>
              <w:spacing w:after="28" w:before="28"/>
            </w:pPr>
            <w:r>
              <w:rPr>
                <w:rFonts w:ascii="Arial" w:cs="Arial" w:eastAsia="Arial" w:hAnsi="Arial"/>
                <w:color w:val="1A1A1A"/>
                <w:sz w:val="17"/>
                <w:szCs w:val="17"/>
              </w:rPr>
              <w:t xml:space="preserve">Shared team goals over individual competition</w:t>
            </w:r>
          </w:p>
          <w:p>
            <w:pPr>
              <w:pStyle w:val="ListParagraph"/>
              <w:numPr>
                <w:ilvl w:val="0"/>
                <w:numId w:val="2"/>
              </w:numPr>
              <w:spacing w:after="28" w:before="28"/>
            </w:pPr>
            <w:r>
              <w:rPr>
                <w:rFonts w:ascii="Arial" w:cs="Arial" w:eastAsia="Arial" w:hAnsi="Arial"/>
                <w:color w:val="1A1A1A"/>
                <w:sz w:val="17"/>
                <w:szCs w:val="17"/>
              </w:rPr>
              <w:t xml:space="preserve">Rotate recognition — peer spotlights monthly</w:t>
            </w:r>
          </w:p>
          <w:p>
            <w:pPr>
              <w:pStyle w:val="ListParagraph"/>
              <w:numPr>
                <w:ilvl w:val="0"/>
                <w:numId w:val="2"/>
              </w:numPr>
              <w:spacing w:after="28" w:before="28"/>
            </w:pPr>
            <w:r>
              <w:rPr>
                <w:rFonts w:ascii="Arial" w:cs="Arial" w:eastAsia="Arial" w:hAnsi="Arial"/>
                <w:color w:val="1A1A1A"/>
                <w:sz w:val="17"/>
                <w:szCs w:val="17"/>
              </w:rPr>
              <w:t xml:space="preserve">Proactive workload balancing before burnout</w:t>
            </w:r>
          </w:p>
          <w:p>
            <w:pPr>
              <w:pStyle w:val="ListParagraph"/>
              <w:numPr>
                <w:ilvl w:val="0"/>
                <w:numId w:val="2"/>
              </w:numPr>
              <w:spacing w:after="28" w:before="28"/>
            </w:pPr>
            <w:r>
              <w:rPr>
                <w:rFonts w:ascii="Arial" w:cs="Arial" w:eastAsia="Arial" w:hAnsi="Arial"/>
                <w:color w:val="1A1A1A"/>
                <w:sz w:val="17"/>
                <w:szCs w:val="17"/>
              </w:rPr>
              <w:t xml:space="preserve">Use Eisenhower Matrix even under pressure</w:t>
            </w:r>
          </w:p>
        </w:tc>
      </w:tr>
    </w:tbl>
    <w:p>
      <w:pPr>
        <w:spacing w:after="0" w:before="80"/>
      </w:pPr>
      <w:r>
        <w:t xml:space="preserve"/>
      </w:r>
    </w:p>
    <w:p>
      <w:pPr>
        <w:pBdr>
          <w:bottom w:val="single" w:color="16A085" w:sz="8" w:space="1"/>
        </w:pBdr>
        <w:spacing w:after="80" w:before="160"/>
      </w:pPr>
      <w:r>
        <w:rPr>
          <w:rFonts w:ascii="Arial" w:cs="Arial" w:eastAsia="Arial" w:hAnsi="Arial"/>
          <w:b/>
          <w:bCs/>
          <w:color w:val="2C3E50"/>
          <w:sz w:val="26"/>
          <w:szCs w:val="26"/>
        </w:rPr>
        <w:t xml:space="preserve">7. Conclusion</w:t>
      </w:r>
    </w:p>
    <w:p>
      <w:pPr>
        <w:spacing w:after="40" w:before="40"/>
      </w:pPr>
      <w:r>
        <w:rPr>
          <w:rFonts w:ascii="Arial" w:cs="Arial" w:eastAsia="Arial" w:hAnsi="Arial"/>
          <w:color w:val="1A1A1A"/>
          <w:sz w:val="18"/>
          <w:szCs w:val="18"/>
        </w:rPr>
        <w:t xml:space="preserve">This supplementary report covers five areas absent from Report 1: the IHR Groupe organisational context that frames the training's credibility; the full 5-Zone Growth Model with observable team indicators; the ASSUME Goal Achievement Model with stage-by-stage operational guidance; the Appropriate Attitude &amp; Behaviour dimension across six behavioural competencies; and the Teamwork &amp; Stress Management gap analysis. Together, these two reports provide complete coverage of all topics from the Business Professionals Programme. Management is recommended to treat both documents as a unified development guide for the team.</w:t>
      </w:r>
    </w:p>
    <w:sectPr>
      <w:headerReference w:type="default" r:id="rId7"/>
      <w:footerReference w:type="default" r:id="rId8"/>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6A085" w:sz="4" w:space="1"/>
      </w:pBdr>
      <w:spacing w:before="60"/>
      <w:jc w:val="right"/>
    </w:pPr>
    <w:r>
      <w:rPr>
        <w:rFonts w:ascii="Arial" w:cs="Arial" w:eastAsia="Arial" w:hAnsi="Arial"/>
        <w:color w:val="666666"/>
        <w:sz w:val="16"/>
        <w:szCs w:val="16"/>
      </w:rPr>
      <w:t xml:space="preserve">Page </w:t>
    </w:r>
    <w:fldSimple w:instr="PAGE"/>
    <w:r>
      <w:rPr>
        <w:rFonts w:ascii="Arial" w:cs="Arial" w:eastAsia="Arial" w:hAnsi="Arial"/>
        <w:color w:val="666666"/>
        <w:sz w:val="16"/>
        <w:szCs w:val="16"/>
      </w:rPr>
      <w:t xml:space="preserve"> of 3   |   Confidential — For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6A085" w:sz="6" w:space="1"/>
      </w:pBdr>
      <w:spacing w:after="60"/>
    </w:pPr>
    <w:r>
      <w:rPr>
        <w:rFonts w:ascii="Arial" w:cs="Arial" w:eastAsia="Arial" w:hAnsi="Arial"/>
        <w:b/>
        <w:bCs/>
        <w:color w:val="2C3E50"/>
        <w:sz w:val="18"/>
        <w:szCs w:val="18"/>
      </w:rPr>
      <w:t xml:space="preserve">Soft Skills Training  —  Supplementary Deep-Dive Report</w:t>
    </w:r>
    <w:r>
      <w:rPr>
        <w:rFonts w:ascii="Arial" w:cs="Arial" w:eastAsia="Arial" w:hAnsi="Arial"/>
        <w:color w:val="666666"/>
        <w:sz w:val="16"/>
        <w:szCs w:val="16"/>
      </w:rPr>
      <w:t xml:space="preserve">   |   Topics not covered in Report 1  |  IHR Groupe, Jan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rPr>
        <w:rFonts w:ascii="Arial" w:cs="Arial" w:eastAsia="Arial" w:hAnsi="Arial"/>
        <w:sz w:val="17"/>
        <w:szCs w:val="1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2026-06-02T03:41:41.859Z</dcterms:created>
  <dcterms:modified xsi:type="dcterms:W3CDTF">2026-06-02T03:41:41.859Z</dcterms:modified>
</cp:coreProperties>
</file>

<file path=docProps/custom.xml><?xml version="1.0" encoding="utf-8"?>
<Properties xmlns="http://schemas.openxmlformats.org/officeDocument/2006/custom-properties" xmlns:vt="http://schemas.openxmlformats.org/officeDocument/2006/docPropsVTypes"/>
</file>