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F9" w:rsidRDefault="00096323">
      <w:pPr>
        <w:pStyle w:val="Title"/>
      </w:pPr>
      <w:r>
        <w:t>Lendsqr</w:t>
      </w:r>
    </w:p>
    <w:p w:rsidR="004D3CF9" w:rsidRDefault="00096323">
      <w:pPr>
        <w:pStyle w:val="Author"/>
      </w:pPr>
      <w:r>
        <w:t>Obiora Chiemerie Martins</w:t>
      </w:r>
    </w:p>
    <w:p w:rsidR="004D3CF9" w:rsidRDefault="00096323">
      <w:pPr>
        <w:pStyle w:val="Date"/>
      </w:pPr>
      <w:r>
        <w:t>2023-06-16</w:t>
      </w:r>
    </w:p>
    <w:p w:rsidR="004D3CF9" w:rsidRDefault="00096323">
      <w:r>
        <w:pict>
          <v:rect id="_x0000_i1025" style="width:0;height:1.5pt" o:hralign="center" o:hrstd="t" o:hr="t"/>
        </w:pict>
      </w:r>
    </w:p>
    <w:p w:rsidR="004D3CF9" w:rsidRDefault="00096323">
      <w:pPr>
        <w:pStyle w:val="Heading2"/>
      </w:pPr>
      <w:bookmarkStart w:id="0" w:name="comparing-irorun-and-a1credit"/>
      <w:r>
        <w:t>Comparing Irorun and A1Credit</w:t>
      </w:r>
    </w:p>
    <w:p w:rsidR="004D3CF9" w:rsidRDefault="00096323">
      <w:pPr>
        <w:pStyle w:val="FirstParagraph"/>
      </w:pPr>
      <w:r>
        <w:t xml:space="preserve">follow this </w:t>
      </w:r>
      <w:hyperlink r:id="rId7">
        <w:r>
          <w:rPr>
            <w:rStyle w:val="Hyperlink"/>
          </w:rPr>
          <w:t>link</w:t>
        </w:r>
      </w:hyperlink>
      <w:r>
        <w:t xml:space="preserve"> to access the dataset used for this report</w:t>
      </w:r>
    </w:p>
    <w:p w:rsidR="004D3CF9" w:rsidRDefault="00096323">
      <w:r>
        <w:pict>
          <v:rect id="_x0000_i1026" style="width:0;height:1.5pt" o:hralign="center" o:hrstd="t" o:hr="t"/>
        </w:pict>
      </w:r>
    </w:p>
    <w:p w:rsidR="004D3CF9" w:rsidRDefault="00096323">
      <w:pPr>
        <w:pStyle w:val="Heading3"/>
      </w:pPr>
      <w:bookmarkStart w:id="1" w:name="loaning-from-a1credit-or-irorun"/>
      <w:r>
        <w:t>Loaning from A1Credit or Irorun</w:t>
      </w:r>
    </w:p>
    <w:p w:rsidR="004D3CF9" w:rsidRDefault="00096323">
      <w:pPr>
        <w:pStyle w:val="FirstParagraph"/>
      </w:pPr>
      <w:hyperlink r:id="rId8">
        <w:r>
          <w:rPr>
            <w:rStyle w:val="Hyperlink"/>
          </w:rPr>
          <w:t>A1Credits</w:t>
        </w:r>
      </w:hyperlink>
      <w:r>
        <w:t xml:space="preserve"> and </w:t>
      </w:r>
      <w:hyperlink r:id="rId9">
        <w:r>
          <w:rPr>
            <w:rStyle w:val="Hyperlink"/>
          </w:rPr>
          <w:t>Irorun</w:t>
        </w:r>
      </w:hyperlink>
      <w:r>
        <w:t xml:space="preserve"> are both financial institutions owned by Lendsqr.</w:t>
      </w:r>
    </w:p>
    <w:p w:rsidR="004D3CF9" w:rsidRDefault="00096323">
      <w:pPr>
        <w:numPr>
          <w:ilvl w:val="0"/>
          <w:numId w:val="2"/>
        </w:numPr>
      </w:pPr>
      <w:r>
        <w:t xml:space="preserve">A1Credit is a </w:t>
      </w:r>
      <w:bookmarkStart w:id="2" w:name="_GoBack"/>
      <w:bookmarkEnd w:id="2"/>
      <w:r>
        <w:t>Lendsqr platform for lending large amounts</w:t>
      </w:r>
      <w:r>
        <w:t xml:space="preserve"> to borrowers</w:t>
      </w:r>
      <w:r>
        <w:t xml:space="preserve"> up to ₦500,000. From the perspective of a typical Nigeria</w:t>
      </w:r>
      <w:r>
        <w:t>n borrowe</w:t>
      </w:r>
      <w:r>
        <w:t>rs, A1Credit loan large money. If I am to borro</w:t>
      </w:r>
      <w:r>
        <w:t>w huge amount of money from financial institutions A1credit is where I will go to.</w:t>
      </w:r>
    </w:p>
    <w:p w:rsidR="004D3CF9" w:rsidRDefault="00096323">
      <w:pPr>
        <w:numPr>
          <w:ilvl w:val="0"/>
          <w:numId w:val="2"/>
        </w:numPr>
      </w:pPr>
      <w:r>
        <w:t xml:space="preserve">Irorun is Lendsqr platform for lending to regular Nigerian </w:t>
      </w:r>
      <w:r>
        <w:t>borrowers up to ₦20,000 maximum. From the perspective of a typical Nigerian borrowers, Irorun loan small money that should be suitable to solve short term problems. If I am to borrow a small amount of money from financial institutions Irorun is where I wil</w:t>
      </w:r>
      <w:r>
        <w:t>l go to.</w:t>
      </w:r>
    </w:p>
    <w:p w:rsidR="004D3CF9" w:rsidRDefault="00096323">
      <w:pPr>
        <w:numPr>
          <w:ilvl w:val="0"/>
          <w:numId w:val="2"/>
        </w:numPr>
      </w:pPr>
      <w:r>
        <w:t>Irorun lending products differs according to the point of accessing the platform. Irorun is accessible as a web app and as a mobile app available on Google playstore.</w:t>
      </w:r>
    </w:p>
    <w:p w:rsidR="004D3CF9" w:rsidRDefault="00096323">
      <w:pPr>
        <w:pStyle w:val="FirstParagraph"/>
      </w:pPr>
      <w:r>
        <w:rPr>
          <w:b/>
          <w:bCs/>
          <w:i/>
          <w:iCs/>
        </w:rPr>
        <w:t>Continue reading to see the different products offered by A1Credit and Irorun, a</w:t>
      </w:r>
      <w:r>
        <w:rPr>
          <w:b/>
          <w:bCs/>
          <w:i/>
          <w:iCs/>
        </w:rPr>
        <w:t>nd their requirements for validating loan.</w:t>
      </w:r>
    </w:p>
    <w:p w:rsidR="004D3CF9" w:rsidRDefault="00096323">
      <w:r>
        <w:pict>
          <v:rect id="_x0000_i1027" style="width:0;height:1.5pt" o:hralign="center" o:hrstd="t" o:hr="t"/>
        </w:pict>
      </w:r>
    </w:p>
    <w:p w:rsidR="004D3CF9" w:rsidRDefault="00096323">
      <w:pPr>
        <w:pStyle w:val="Heading4"/>
      </w:pPr>
      <w:bookmarkStart w:id="3" w:name="Xd4083214fbe60303cdefea61885984e9e3967b1"/>
      <w:r>
        <w:t>What are the requirements for loaning from either A1Credit or Irorun?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70"/>
        <w:gridCol w:w="2400"/>
      </w:tblGrid>
      <w:tr w:rsidR="004D3CF9" w:rsidTr="004D3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Irorun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A1Credit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Provide next of kin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Personal details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Updated address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Employment details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Valid government-issued ID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Functional debit card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Debit card</w:t>
            </w:r>
          </w:p>
        </w:tc>
        <w:tc>
          <w:tcPr>
            <w:tcW w:w="0" w:type="auto"/>
          </w:tcPr>
          <w:p w:rsidR="004D3CF9" w:rsidRDefault="004D3CF9">
            <w:pPr>
              <w:pStyle w:val="Compact"/>
            </w:pPr>
          </w:p>
        </w:tc>
      </w:tr>
    </w:tbl>
    <w:p w:rsidR="004D3CF9" w:rsidRDefault="00096323">
      <w:r>
        <w:pict>
          <v:rect id="_x0000_i1028" style="width:0;height:1.5pt" o:hralign="center" o:hrstd="t" o:hr="t"/>
        </w:pict>
      </w:r>
    </w:p>
    <w:p w:rsidR="004D3CF9" w:rsidRDefault="00096323">
      <w:pPr>
        <w:pStyle w:val="Heading4"/>
      </w:pPr>
      <w:bookmarkStart w:id="4" w:name="X9a56f2c2b7eb258d7af5313b48e1bf036be5c0e"/>
      <w:bookmarkEnd w:id="3"/>
      <w:r>
        <w:lastRenderedPageBreak/>
        <w:t>Comparing the products offered A1Credit and Irorun</w:t>
      </w:r>
    </w:p>
    <w:p w:rsidR="004D3CF9" w:rsidRDefault="00096323">
      <w:pPr>
        <w:pStyle w:val="Heading5"/>
      </w:pPr>
      <w:bookmarkStart w:id="5" w:name="using-tables"/>
      <w:r>
        <w:t>Using tables</w:t>
      </w:r>
    </w:p>
    <w:p w:rsidR="004D3CF9" w:rsidRDefault="00096323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Products of Irorun (mobile app)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5"/>
        <w:gridCol w:w="824"/>
        <w:gridCol w:w="826"/>
        <w:gridCol w:w="897"/>
        <w:gridCol w:w="899"/>
        <w:gridCol w:w="775"/>
        <w:gridCol w:w="1005"/>
        <w:gridCol w:w="1104"/>
        <w:gridCol w:w="1167"/>
        <w:gridCol w:w="1098"/>
      </w:tblGrid>
      <w:tr w:rsidR="004D3CF9" w:rsidTr="004D3CF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Products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 loan Amount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 loan Amount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 loan duration (days)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 loan duration (days)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Interest (%)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Processing Fee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Repayment Frequency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No. of Prerequisite Loan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Customer's Class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starter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100 Naira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Everyone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Everyone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Loyalty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20,000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Loyal android customers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Refer and Earn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D0E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FEFB8"/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:rsidR="004D3CF9" w:rsidRDefault="00096323">
      <w:pPr>
        <w:pStyle w:val="FirstParagraph"/>
      </w:pPr>
      <w:r>
        <w:t>Downloading Irorun mobile app from Google playstore provides new user with the privilege of borrowing up to ₦5,000 at an interest of 15% with ₦100 processing fee. The loan is to be repaid 3 to 15 days after borrowing. For Nigerians, this is a medium to res</w:t>
      </w:r>
      <w:r>
        <w:t xml:space="preserve">ponsibly get </w:t>
      </w:r>
      <w:r>
        <w:rPr>
          <w:b/>
          <w:bCs/>
        </w:rPr>
        <w:t>urgent 5k</w:t>
      </w:r>
      <w:r>
        <w:t>, and it’s available for everyone.</w:t>
      </w:r>
    </w:p>
    <w:p w:rsidR="004D3CF9" w:rsidRDefault="00096323">
      <w:pPr>
        <w:pStyle w:val="BodyText"/>
      </w:pPr>
      <w:r>
        <w:t>After 2 successful loans, Nigerian users can borrow up to ₦10,000 at a processing fee as low as 10% to be repaid 7 to 15 days after loaning.</w:t>
      </w:r>
    </w:p>
    <w:p w:rsidR="004D3CF9" w:rsidRDefault="00096323">
      <w:pPr>
        <w:pStyle w:val="BodyText"/>
      </w:pPr>
      <w:r>
        <w:t xml:space="preserve">Irorun Easy credit loyalty provides specifically to their </w:t>
      </w:r>
      <w:r>
        <w:rPr>
          <w:b/>
          <w:bCs/>
        </w:rPr>
        <w:t>loyal Android users</w:t>
      </w:r>
      <w:r>
        <w:t xml:space="preserve"> to borrow up to ₦20,000 to repay in 30 days.</w:t>
      </w:r>
    </w:p>
    <w:p w:rsidR="004D3CF9" w:rsidRDefault="00096323">
      <w:r>
        <w:pict>
          <v:rect id="_x0000_i1029" style="width:0;height:1.5pt" o:hralign="center" o:hrstd="t" o:hr="t"/>
        </w:pict>
      </w:r>
    </w:p>
    <w:p w:rsidR="004D3CF9" w:rsidRDefault="00096323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Products of Irorun (web app)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928"/>
        <w:gridCol w:w="934"/>
        <w:gridCol w:w="994"/>
        <w:gridCol w:w="1074"/>
        <w:gridCol w:w="1080"/>
        <w:gridCol w:w="1044"/>
        <w:gridCol w:w="1220"/>
        <w:gridCol w:w="1186"/>
      </w:tblGrid>
      <w:tr w:rsidR="004D3CF9" w:rsidTr="004D3CF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Products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 loan Amount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 loan Amount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Interest per month (%)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 loan duration (days)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 loan duration (days)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Processing fe</w:t>
            </w:r>
            <w:r>
              <w:rPr>
                <w:rFonts w:ascii="Calibri" w:hAnsi="Calibri"/>
                <w:sz w:val="20"/>
              </w:rPr>
              <w:t>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Repayment frequency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Prerequisite loan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loyalty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20,000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supreme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free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2D0D5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EF7A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</w:tr>
    </w:tbl>
    <w:p w:rsidR="004D3CF9" w:rsidRDefault="00096323">
      <w:pPr>
        <w:pStyle w:val="FirstParagraph"/>
      </w:pPr>
      <w:r>
        <w:t>Loaning from Irorun web app provides new user with an opportunity of borrowing up to ₦10,000 at an interest of 15% with ₦400 processing fee to repay in 15 days.</w:t>
      </w:r>
    </w:p>
    <w:p w:rsidR="004D3CF9" w:rsidRDefault="00096323">
      <w:pPr>
        <w:pStyle w:val="BodyText"/>
      </w:pPr>
      <w:r>
        <w:t>After 2 successful loans, the Easy credit loyalty product provides Nigerian users can borrow up to ₦20,000 at a processing fee of ₦400 to be repay in 30 days.</w:t>
      </w:r>
    </w:p>
    <w:p w:rsidR="004D3CF9" w:rsidRDefault="00096323">
      <w:pPr>
        <w:pStyle w:val="BodyText"/>
      </w:pPr>
      <w:r>
        <w:lastRenderedPageBreak/>
        <w:t>After 5 successful loans, Irorun Easy credit supreme and Easy credit free provides borrowers with</w:t>
      </w:r>
      <w:r>
        <w:t xml:space="preserve"> the opportunity to borrow up to ₦50,000 to repay in 30 days. Easy credit supreme comes with an interest of 10% while Easy credit free has </w:t>
      </w:r>
      <w:r>
        <w:rPr>
          <w:b/>
          <w:bCs/>
        </w:rPr>
        <w:t>zero interest</w:t>
      </w:r>
      <w:r>
        <w:t>.</w:t>
      </w:r>
    </w:p>
    <w:p w:rsidR="004D3CF9" w:rsidRDefault="00096323">
      <w:r>
        <w:pict>
          <v:rect id="_x0000_i1030" style="width:0;height:1.5pt" o:hralign="center" o:hrstd="t" o:hr="t"/>
        </w:pict>
      </w:r>
    </w:p>
    <w:p w:rsidR="004D3CF9" w:rsidRDefault="00096323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Products of A1Credit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90"/>
        <w:gridCol w:w="1044"/>
        <w:gridCol w:w="1123"/>
        <w:gridCol w:w="1085"/>
        <w:gridCol w:w="1097"/>
        <w:gridCol w:w="1180"/>
        <w:gridCol w:w="1209"/>
        <w:gridCol w:w="1352"/>
      </w:tblGrid>
      <w:tr w:rsidR="004D3CF9" w:rsidTr="004D3CF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Products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 loan Amount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 loan Amount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Min l</w:t>
            </w:r>
            <w:r>
              <w:rPr>
                <w:rFonts w:ascii="Calibri" w:hAnsi="Calibri"/>
                <w:sz w:val="20"/>
              </w:rPr>
              <w:t>oan duration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Max loan duration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Interest per month (%)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Processing Fee (%)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Repayment frequency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A1Credit Advance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05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05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 days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 days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A1Credit Freedom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05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05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 w:rsidP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 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 xml:space="preserve"> months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A1Credit Freedom-Manual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05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05F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500,000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z w:val="20"/>
              </w:rPr>
              <w:t xml:space="preserve"> months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 months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Daily</w:t>
            </w:r>
          </w:p>
        </w:tc>
      </w:tr>
    </w:tbl>
    <w:p w:rsidR="004D3CF9" w:rsidRDefault="00096323">
      <w:pPr>
        <w:pStyle w:val="FirstParagraph"/>
      </w:pPr>
      <w:r>
        <w:t>A1Credit app from Google playstore provides borrowers with the privilege of borrowing a minimum of ₦5,000 up to a maximum loan amount of ₦500,000 at different interest rates</w:t>
      </w:r>
      <w:r>
        <w:t xml:space="preserve"> and processing fee.</w:t>
      </w:r>
    </w:p>
    <w:p w:rsidR="004D3CF9" w:rsidRDefault="00096323">
      <w:pPr>
        <w:pStyle w:val="BodyText"/>
      </w:pPr>
      <w:r>
        <w:t>From the table showing the produc</w:t>
      </w:r>
      <w:r>
        <w:t xml:space="preserve">ts of A1Credit, </w:t>
      </w:r>
      <w:r>
        <w:rPr>
          <w:b/>
          <w:bCs/>
        </w:rPr>
        <w:t>A1Credit Freedom-Manual</w:t>
      </w:r>
      <w:r>
        <w:t xml:space="preserve"> provides loans to borrowers at an interest of 7% with a </w:t>
      </w:r>
      <w:r>
        <w:rPr>
          <w:b/>
          <w:bCs/>
        </w:rPr>
        <w:t>0%</w:t>
      </w:r>
      <w:r>
        <w:t xml:space="preserve"> processing fee to be </w:t>
      </w:r>
      <w:r>
        <w:t>repaid in 3 months.</w:t>
      </w:r>
    </w:p>
    <w:p w:rsidR="004D3CF9" w:rsidRDefault="00096323">
      <w:r>
        <w:pict>
          <v:rect id="_x0000_i1031" style="width:0;height:1.5pt" o:hralign="center" o:hrstd="t" o:hr="t"/>
        </w:pict>
      </w:r>
    </w:p>
    <w:p w:rsidR="004D3CF9" w:rsidRDefault="00096323">
      <w:pPr>
        <w:pStyle w:val="Heading4"/>
      </w:pPr>
      <w:bookmarkStart w:id="6" w:name="findings"/>
      <w:bookmarkEnd w:id="5"/>
      <w:bookmarkEnd w:id="4"/>
      <w:r>
        <w:t>Findings</w:t>
      </w:r>
    </w:p>
    <w:p w:rsidR="004D3CF9" w:rsidRDefault="00096323">
      <w:pPr>
        <w:pStyle w:val="FirstParagraph"/>
      </w:pPr>
      <w:r>
        <w:t>As seen from the above tables, A1Credit provides borrowers large sum of loan with relatively low interest ra</w:t>
      </w:r>
      <w:r>
        <w:t>te. A1Credit requires some specific documents which may be very difficult to be provided by a regular Nigerian borrower. Irorun on the other provides optimum loan to borrowers with interest rate as high as 15% but has minimum documents for validating loans</w:t>
      </w:r>
      <w:r>
        <w:t>. Irorun web app have different products from Irorun mobile app but has a steady processing fee of ₦400.</w:t>
      </w:r>
    </w:p>
    <w:p w:rsidR="004D3CF9" w:rsidRDefault="00096323">
      <w:pPr>
        <w:numPr>
          <w:ilvl w:val="0"/>
          <w:numId w:val="3"/>
        </w:numPr>
      </w:pPr>
      <w:r>
        <w:t>A1Credit is suitable for large borrower like for business start ups. It is basically to take care of long term needs.</w:t>
      </w:r>
    </w:p>
    <w:p w:rsidR="004D3CF9" w:rsidRDefault="00096323">
      <w:pPr>
        <w:numPr>
          <w:ilvl w:val="0"/>
          <w:numId w:val="3"/>
        </w:numPr>
      </w:pPr>
      <w:r>
        <w:t>Irorun is suitable for small borr</w:t>
      </w:r>
      <w:r>
        <w:t>owers probably to take care of short term problems.</w:t>
      </w:r>
    </w:p>
    <w:p w:rsidR="004D3CF9" w:rsidRDefault="00096323">
      <w:pPr>
        <w:pStyle w:val="FirstParagraph"/>
      </w:pPr>
      <w:r>
        <w:rPr>
          <w:b/>
          <w:bCs/>
        </w:rPr>
        <w:t>Irorun</w:t>
      </w:r>
      <w:r>
        <w:t xml:space="preserve"> comes with a higher interest rate compared to </w:t>
      </w:r>
      <w:r>
        <w:rPr>
          <w:b/>
          <w:bCs/>
        </w:rPr>
        <w:t>A1Credit</w:t>
      </w:r>
      <w:r>
        <w:t>.</w:t>
      </w:r>
    </w:p>
    <w:p w:rsidR="004D3CF9" w:rsidRDefault="00096323">
      <w:pPr>
        <w:pStyle w:val="BodyText"/>
      </w:pPr>
      <w:r>
        <w:t>.</w:t>
      </w:r>
    </w:p>
    <w:p w:rsidR="004D3CF9" w:rsidRDefault="00096323">
      <w:pPr>
        <w:pStyle w:val="Heading4"/>
      </w:pPr>
      <w:bookmarkStart w:id="7" w:name="strength"/>
      <w:bookmarkEnd w:id="6"/>
      <w:r>
        <w:t>Strength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833"/>
        <w:gridCol w:w="4743"/>
      </w:tblGrid>
      <w:tr w:rsidR="004D3CF9" w:rsidTr="004D3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Irorun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A1Credit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Suitable for regular Nigerian that require urgent fund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Suitable for large borrowers like business start ups in Nigeria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 xml:space="preserve">Requires minimal amount of documents </w:t>
            </w:r>
            <w:r>
              <w:lastRenderedPageBreak/>
              <w:t>before validating loan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lastRenderedPageBreak/>
              <w:t xml:space="preserve">Provides borrowers with sufficient time for </w:t>
            </w:r>
            <w:r>
              <w:lastRenderedPageBreak/>
              <w:t>repay.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lastRenderedPageBreak/>
              <w:t xml:space="preserve">Provides a </w:t>
            </w:r>
            <w:r>
              <w:rPr>
                <w:b/>
                <w:bCs/>
              </w:rPr>
              <w:t>Refer and Earn</w:t>
            </w:r>
            <w:r>
              <w:t xml:space="preserve"> for users</w:t>
            </w:r>
          </w:p>
        </w:tc>
        <w:tc>
          <w:tcPr>
            <w:tcW w:w="0" w:type="auto"/>
          </w:tcPr>
          <w:p w:rsidR="004D3CF9" w:rsidRDefault="004D3CF9">
            <w:pPr>
              <w:pStyle w:val="Compact"/>
            </w:pPr>
          </w:p>
        </w:tc>
      </w:tr>
    </w:tbl>
    <w:p w:rsidR="004D3CF9" w:rsidRDefault="00096323">
      <w:pPr>
        <w:pStyle w:val="BodyText"/>
      </w:pPr>
      <w:r>
        <w:t>.</w:t>
      </w:r>
    </w:p>
    <w:p w:rsidR="004D3CF9" w:rsidRDefault="00096323">
      <w:pPr>
        <w:pStyle w:val="Heading4"/>
      </w:pPr>
      <w:bookmarkStart w:id="8" w:name="weakness"/>
      <w:bookmarkEnd w:id="7"/>
      <w:r>
        <w:t>Weakness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9"/>
        <w:gridCol w:w="6077"/>
      </w:tblGrid>
      <w:tr w:rsidR="004D3CF9" w:rsidTr="004D3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Irorun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A1Credit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It is not suitable for large borrowers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Not suitable for small borrowers</w:t>
            </w:r>
          </w:p>
        </w:tc>
      </w:tr>
      <w:tr w:rsidR="004D3CF9"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Has a high interest rate and Processing fee</w:t>
            </w:r>
          </w:p>
        </w:tc>
        <w:tc>
          <w:tcPr>
            <w:tcW w:w="0" w:type="auto"/>
          </w:tcPr>
          <w:p w:rsidR="004D3CF9" w:rsidRDefault="00096323">
            <w:pPr>
              <w:pStyle w:val="Compact"/>
            </w:pPr>
            <w:r>
              <w:t>Not all Nigerians can easily provide the documents required for validating loans</w:t>
            </w:r>
          </w:p>
        </w:tc>
      </w:tr>
    </w:tbl>
    <w:p w:rsidR="004D3CF9" w:rsidRDefault="00096323">
      <w:r>
        <w:pict>
          <v:rect id="_x0000_i1032" style="width:0;height:1.5pt" o:hralign="center" o:hrstd="t" o:hr="t"/>
        </w:pict>
      </w:r>
    </w:p>
    <w:p w:rsidR="004D3CF9" w:rsidRDefault="00096323">
      <w:pPr>
        <w:pStyle w:val="Heading4"/>
      </w:pPr>
      <w:bookmarkStart w:id="9" w:name="how-can-irorun-improve"/>
      <w:bookmarkEnd w:id="8"/>
      <w:r>
        <w:t>How can Irorun improve?</w:t>
      </w:r>
    </w:p>
    <w:p w:rsidR="004D3CF9" w:rsidRDefault="00096323">
      <w:pPr>
        <w:pStyle w:val="Compact"/>
        <w:numPr>
          <w:ilvl w:val="0"/>
          <w:numId w:val="4"/>
        </w:numPr>
      </w:pPr>
      <w:r>
        <w:t>Irorun can improve the satisfac</w:t>
      </w:r>
      <w:r>
        <w:t>tion of Nigerian borrowers by reducing the processing fee for the products offered on the mobile app.</w:t>
      </w:r>
    </w:p>
    <w:p w:rsidR="004D3CF9" w:rsidRDefault="00096323" w:rsidP="00096323">
      <w:pPr>
        <w:pStyle w:val="Compact"/>
        <w:numPr>
          <w:ilvl w:val="0"/>
          <w:numId w:val="4"/>
        </w:numPr>
      </w:pPr>
      <w:r>
        <w:t xml:space="preserve">There should be products that </w:t>
      </w:r>
      <w:r w:rsidRPr="00096323">
        <w:t>allow Irorun borrowers to borrow large sums</w:t>
      </w:r>
      <w:r>
        <w:t>.</w:t>
      </w:r>
    </w:p>
    <w:p w:rsidR="00096323" w:rsidRDefault="00096323" w:rsidP="00096323">
      <w:pPr>
        <w:pStyle w:val="Compact"/>
      </w:pPr>
    </w:p>
    <w:p w:rsidR="004D3CF9" w:rsidRDefault="00096323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Comparison of Loan Products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1"/>
        <w:gridCol w:w="1036"/>
        <w:gridCol w:w="1014"/>
        <w:gridCol w:w="944"/>
        <w:gridCol w:w="954"/>
        <w:gridCol w:w="931"/>
        <w:gridCol w:w="1171"/>
        <w:gridCol w:w="1180"/>
        <w:gridCol w:w="1189"/>
      </w:tblGrid>
      <w:tr w:rsidR="004D3CF9" w:rsidTr="004D3CF9">
        <w:trPr>
          <w:cantSplit/>
          <w:tblHeader/>
          <w:jc w:val="center"/>
        </w:trPr>
        <w:tc>
          <w:tcPr>
            <w:tcW w:w="0" w:type="auto"/>
            <w:gridSpan w:val="3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  <w:shd w:val="clear" w:color="auto" w:fill="FFA500"/>
          </w:tcPr>
          <w:p w:rsidR="004D3CF9" w:rsidRDefault="00096323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Products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</w:tcBorders>
            <w:shd w:val="clear" w:color="auto" w:fill="FFA500"/>
          </w:tcPr>
          <w:p w:rsidR="004D3CF9" w:rsidRDefault="00096323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Interest Rate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  <w:shd w:val="clear" w:color="auto" w:fill="FFA500"/>
          </w:tcPr>
          <w:p w:rsidR="004D3CF9" w:rsidRDefault="00096323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Processing Fee</w:t>
            </w:r>
          </w:p>
        </w:tc>
      </w:tr>
      <w:tr w:rsidR="004D3CF9" w:rsidTr="004D3CF9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Products of A1Credit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Products of Irorun (mobile app)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Products of Irorun (web app)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A1Credit interest rate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Irorun mobile app interest rate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Irorun web app interest rate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A1Credit app processing fee (%)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Irorun mobile app </w:t>
            </w:r>
            <w:r>
              <w:rPr>
                <w:rFonts w:ascii="Calibri" w:hAnsi="Calibri"/>
                <w:sz w:val="20"/>
              </w:rPr>
              <w:t>processing fee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Irorun web app processing fee (₦)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A1Credit Advance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starter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100 Naira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400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A1Credit Freedom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loyalty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400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A1Credit Freedom-Manual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Loyalty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Easy credit </w:t>
            </w:r>
            <w:r>
              <w:rPr>
                <w:rFonts w:ascii="Calibri" w:hAnsi="Calibri"/>
                <w:sz w:val="20"/>
              </w:rPr>
              <w:t>supreme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400</w:t>
            </w:r>
          </w:p>
        </w:tc>
      </w:tr>
      <w:tr w:rsidR="004D3CF9" w:rsidTr="004D3CF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Refer and Earn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Easy credit free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35C"/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D3CF9" w:rsidRDefault="0009632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400</w:t>
            </w:r>
          </w:p>
        </w:tc>
      </w:tr>
    </w:tbl>
    <w:p w:rsidR="004D3CF9" w:rsidRDefault="00096323">
      <w:r>
        <w:pict>
          <v:rect id="_x0000_i1033" style="width:0;height:1.5pt" o:hralign="center" o:hrstd="t" o:hr="t"/>
        </w:pict>
      </w:r>
    </w:p>
    <w:p w:rsidR="004D3CF9" w:rsidRDefault="00096323">
      <w:pPr>
        <w:pStyle w:val="FirstParagraph"/>
      </w:pPr>
      <w:r>
        <w:t xml:space="preserve">5 star for </w:t>
      </w:r>
      <w:hyperlink r:id="rId10">
        <w:r>
          <w:rPr>
            <w:rStyle w:val="Hyperlink"/>
          </w:rPr>
          <w:t>Irorun mobile ap</w:t>
        </w:r>
        <w:r>
          <w:rPr>
            <w:rStyle w:val="Hyperlink"/>
          </w:rPr>
          <w:t>p</w:t>
        </w:r>
      </w:hyperlink>
    </w:p>
    <w:p w:rsidR="004D3CF9" w:rsidRDefault="00096323">
      <w:pPr>
        <w:pStyle w:val="BodyText"/>
      </w:pPr>
      <w:r>
        <w:t xml:space="preserve">5 star for </w:t>
      </w:r>
      <w:hyperlink r:id="rId11">
        <w:r>
          <w:rPr>
            <w:rStyle w:val="Hyperlink"/>
          </w:rPr>
          <w:t>A1Credite app</w:t>
        </w:r>
      </w:hyperlink>
    </w:p>
    <w:bookmarkEnd w:id="9"/>
    <w:bookmarkEnd w:id="1"/>
    <w:bookmarkEnd w:id="0"/>
    <w:sectPr w:rsidR="004D3C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96323">
      <w:pPr>
        <w:spacing w:after="0"/>
      </w:pPr>
      <w:r>
        <w:separator/>
      </w:r>
    </w:p>
  </w:endnote>
  <w:endnote w:type="continuationSeparator" w:id="0">
    <w:p w:rsidR="00000000" w:rsidRDefault="00096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CF9" w:rsidRDefault="00096323">
      <w:r>
        <w:separator/>
      </w:r>
    </w:p>
  </w:footnote>
  <w:footnote w:type="continuationSeparator" w:id="0">
    <w:p w:rsidR="004D3CF9" w:rsidRDefault="0009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248C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4443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9E07A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CF9"/>
    <w:rsid w:val="00096323"/>
    <w:rsid w:val="004D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6B743B0"/>
  <w15:docId w15:val="{6900F521-555C-454D-9FFD-4A7DDD1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096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1creditng.com/ind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9a83WcYMWx6sYNN2z7A6KexnCCcFRxnh?usp=driv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OqScQUuw_kBkkDIvHc4B5YJImQyIKi23/view?usp=drive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WvJq40LZSnCuB6l2bJpLvSlCTisNkD8d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oru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Lendsqr</dc:title>
  <dc:creator>Obiora Chiemerie Martins</dc:creator>
  <cp:keywords/>
  <cp:lastModifiedBy>Dell</cp:lastModifiedBy>
  <cp:revision>2</cp:revision>
  <dcterms:created xsi:type="dcterms:W3CDTF">2023-06-16T08:43:00Z</dcterms:created>
  <dcterms:modified xsi:type="dcterms:W3CDTF">2023-06-16T08:48:00Z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2023-06-16</vt:lpwstr>
  </property>
  <property fmtid="{D5CDD505-2E9C-101B-9397-08002B2CF9AE}" pid="3" name="output">
    <vt:lpwstr>word_document</vt:lpwstr>
  </property>
</Properties>
</file>