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B85BF" w14:textId="77777777" w:rsidR="00F40C30" w:rsidRPr="00064A4B" w:rsidRDefault="00F40C30" w:rsidP="00F40C30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b/>
          <w:sz w:val="24"/>
        </w:rPr>
        <w:t>Abstract</w:t>
      </w:r>
    </w:p>
    <w:p w14:paraId="08D6DB03" w14:textId="77777777" w:rsidR="00F40C30" w:rsidRPr="00D36B6A" w:rsidRDefault="00F40C30" w:rsidP="00F40C30">
      <w:pPr>
        <w:spacing w:after="160" w:line="480" w:lineRule="auto"/>
        <w:rPr>
          <w:rFonts w:ascii="Times New Roman" w:eastAsia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4"/>
          <w:lang w:eastAsia="zh-CN"/>
        </w:rPr>
        <w:t>Objective</w:t>
      </w:r>
      <w:r w:rsidRPr="00D36B6A">
        <w:rPr>
          <w:rFonts w:ascii="Times New Roman" w:eastAsia="Times New Roman" w:hAnsi="Times New Roman" w:cs="Times New Roman"/>
          <w:b/>
          <w:bCs/>
          <w:color w:val="000000"/>
          <w:sz w:val="24"/>
          <w:lang w:eastAsia="zh-CN"/>
        </w:rPr>
        <w:t xml:space="preserve">: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 The Advisory Committee on Immunization Practices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(ACIP)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advised vaccinating young adults against Human Papillomavirus (HPV) in 2006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,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aiming to prevent HPV-related cancers and genital warts. As these preven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>tive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measures have spread rapidly, understanding vaccination 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 xml:space="preserve">patterns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is essential for informing targeted public health interventions.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>T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his study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aimed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to explore the demographic disparities, temporal trends, and geographical patterns of HPV vaccine administration by analyzing large-scale immunization registry vaccine data for Long Island (LI)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 xml:space="preserve"> (Nassau and Suffolk Counties)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, New York (NY).</w:t>
      </w:r>
    </w:p>
    <w:p w14:paraId="359CC7C6" w14:textId="77777777" w:rsidR="00F40C30" w:rsidRDefault="00F40C30" w:rsidP="00F40C30">
      <w:pPr>
        <w:spacing w:after="160" w:line="480" w:lineRule="auto"/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lang w:eastAsia="zh-CN"/>
        </w:rPr>
        <w:t>Methods</w:t>
      </w:r>
      <w:r w:rsidRPr="00D36B6A">
        <w:rPr>
          <w:rFonts w:ascii="Times New Roman" w:eastAsia="Times New Roman" w:hAnsi="Times New Roman" w:cs="Times New Roman"/>
          <w:b/>
          <w:bCs/>
          <w:color w:val="000000"/>
          <w:sz w:val="24"/>
          <w:lang w:eastAsia="zh-CN"/>
        </w:rPr>
        <w:t xml:space="preserve">: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The vaccine registration data retrieved from the New York State Immunization Information System (NYSIIS) was used to assess 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 xml:space="preserve">the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HPV vaccine administration rate from 2012 to 2023. Patients’ demographic information and regional variations were evaluated to identify the disparities between different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>subgroups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. The analysis was conducted between 2023 and 2024. </w:t>
      </w:r>
    </w:p>
    <w:p w14:paraId="5AA8CDEC" w14:textId="77777777" w:rsidR="00F40C30" w:rsidRPr="004E3C9B" w:rsidRDefault="00F40C30" w:rsidP="00F40C30">
      <w:pPr>
        <w:spacing w:after="160" w:line="480" w:lineRule="auto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lang w:eastAsia="zh-CN"/>
        </w:rPr>
        <w:t xml:space="preserve">Results: 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>The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HPV vaccination rate among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LI 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>children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ages 9 to 13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demonstrates a growth of 284.43% from 2012 to 2019 and a slight decrease of 5.04% 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>around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2020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>. A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round 68.07% of 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 xml:space="preserve">individuals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received their first dose before their 15</w:t>
      </w:r>
      <w:r w:rsidRPr="00D36B6A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zh-CN"/>
        </w:rPr>
        <w:t>th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birthday and 24.95% of them followed the recommended routine to receive 2 doses in half a year. Spatially, eastern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>LI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consistently holds a higher HPV vaccination rate than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 xml:space="preserve"> northwestern LI.</w:t>
      </w:r>
    </w:p>
    <w:p w14:paraId="3928A73C" w14:textId="18F0AC28" w:rsidR="00F40C30" w:rsidRDefault="00F40C30" w:rsidP="00F40C30">
      <w:r w:rsidRPr="00D36B6A">
        <w:rPr>
          <w:rFonts w:ascii="Times New Roman" w:eastAsia="Times New Roman" w:hAnsi="Times New Roman" w:cs="Times New Roman"/>
          <w:b/>
          <w:bCs/>
          <w:color w:val="000000"/>
          <w:sz w:val="24"/>
          <w:lang w:eastAsia="zh-CN"/>
        </w:rPr>
        <w:t>Conclusions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lang w:eastAsia="zh-CN"/>
        </w:rPr>
        <w:t xml:space="preserve">The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rising trend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in HPV vaccination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coverage on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LI </w:t>
      </w:r>
      <w:r>
        <w:rPr>
          <w:rFonts w:ascii="Times New Roman" w:hAnsi="Times New Roman" w:cs="Times New Roman" w:hint="eastAsia"/>
          <w:color w:val="000000"/>
          <w:sz w:val="24"/>
          <w:lang w:eastAsia="zh-CN"/>
        </w:rPr>
        <w:t xml:space="preserve">with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a modest drop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around 2020 indicates the likely impact of COVID-19 pandemic.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Additional attention is called to be paid to the regions with the lowe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>r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uptake rates 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>given the uneven distribution of the vaccine coverage</w:t>
      </w:r>
      <w:r w:rsidRPr="0017432B">
        <w:rPr>
          <w:rFonts w:ascii="Times New Roman" w:eastAsia="Times New Roman" w:hAnsi="Times New Roman" w:cs="Times New Roman"/>
          <w:color w:val="000000"/>
          <w:sz w:val="24"/>
          <w:lang w:eastAsia="zh-CN"/>
        </w:rPr>
        <w:t xml:space="preserve"> </w:t>
      </w:r>
      <w:r w:rsidRPr="00D36B6A">
        <w:rPr>
          <w:rFonts w:ascii="Times New Roman" w:eastAsia="Times New Roman" w:hAnsi="Times New Roman" w:cs="Times New Roman"/>
          <w:color w:val="000000"/>
          <w:sz w:val="24"/>
          <w:lang w:eastAsia="zh-CN"/>
        </w:rPr>
        <w:t>to prevent HPV-related cancers</w:t>
      </w:r>
      <w:r>
        <w:rPr>
          <w:rFonts w:ascii="Times New Roman" w:eastAsia="Times New Roman" w:hAnsi="Times New Roman" w:cs="Times New Roman"/>
          <w:color w:val="000000"/>
          <w:sz w:val="24"/>
          <w:lang w:eastAsia="zh-CN"/>
        </w:rPr>
        <w:t>.</w:t>
      </w:r>
    </w:p>
    <w:sectPr w:rsidR="00F4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30"/>
    <w:rsid w:val="004B1FD7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7BA8"/>
  <w15:chartTrackingRefBased/>
  <w15:docId w15:val="{C84E5605-4F1F-4884-B731-7FA41809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30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C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C3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C3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C3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C3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C3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C3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C3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C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3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C30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0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C30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0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1</cp:revision>
  <dcterms:created xsi:type="dcterms:W3CDTF">2024-10-04T20:53:00Z</dcterms:created>
  <dcterms:modified xsi:type="dcterms:W3CDTF">2024-10-04T20:53:00Z</dcterms:modified>
</cp:coreProperties>
</file>