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ke-powell-v3-source-verified-synthesis"/>
    <w:p>
      <w:pPr>
        <w:pStyle w:val="Heading1"/>
      </w:pPr>
      <w:r>
        <w:t xml:space="preserve">Lake Powell V3 Source-Verified Synthesis</w:t>
      </w:r>
    </w:p>
    <w:p>
      <w:pPr>
        <w:pStyle w:val="FirstParagraph"/>
      </w:pPr>
      <w:r>
        <w:t xml:space="preserve">This v3 synthesis uses operational KUs as locators, then checks important synthesis claims against the relevant source sections or chunks when available.</w:t>
      </w:r>
    </w:p>
    <w:bookmarkStart w:id="9" w:name="method"/>
    <w:p>
      <w:pPr>
        <w:pStyle w:val="Heading2"/>
      </w:pPr>
      <w:r>
        <w:t xml:space="preserve">Method</w:t>
      </w:r>
    </w:p>
    <w:p>
      <w:pPr>
        <w:pStyle w:val="Compact"/>
        <w:numPr>
          <w:ilvl w:val="0"/>
          <w:numId w:val="1001"/>
        </w:numPr>
      </w:pPr>
      <w:r>
        <w:t xml:space="preserve">Input KU file:</w:t>
      </w:r>
      <w:r>
        <w:t xml:space="preserve"> </w:t>
      </w:r>
      <w:r>
        <w:rPr>
          <w:rStyle w:val="VerbatimChar"/>
        </w:rPr>
        <w:t xml:space="preserve">operational_kus_v2_full.jsonl</w:t>
      </w:r>
      <w:r>
        <w:t xml:space="preserve">.</w:t>
      </w:r>
    </w:p>
    <w:p>
      <w:pPr>
        <w:pStyle w:val="Compact"/>
        <w:numPr>
          <w:ilvl w:val="0"/>
          <w:numId w:val="1001"/>
        </w:numPr>
      </w:pPr>
      <w:r>
        <w:t xml:space="preserve">Candidate relationships were identified from KUs.</w:t>
      </w:r>
    </w:p>
    <w:p>
      <w:pPr>
        <w:pStyle w:val="Compact"/>
        <w:numPr>
          <w:ilvl w:val="0"/>
          <w:numId w:val="1001"/>
        </w:numPr>
      </w:pPr>
      <w:r>
        <w:t xml:space="preserve">Important cards were checked against KU source locators and parsed source chunks/sections.</w:t>
      </w:r>
    </w:p>
    <w:p>
      <w:pPr>
        <w:pStyle w:val="Compact"/>
        <w:numPr>
          <w:ilvl w:val="0"/>
          <w:numId w:val="1001"/>
        </w:numPr>
      </w:pPr>
      <w:r>
        <w:t xml:space="preserve">Each card records evidence depth and research relevance.</w:t>
      </w:r>
    </w:p>
    <w:bookmarkEnd w:id="9"/>
    <w:bookmarkStart w:id="10" w:name="counts"/>
    <w:p>
      <w:pPr>
        <w:pStyle w:val="Heading2"/>
      </w:pPr>
      <w:r>
        <w:t xml:space="preserve">Counts</w:t>
      </w:r>
    </w:p>
    <w:p>
      <w:pPr>
        <w:pStyle w:val="Compact"/>
        <w:numPr>
          <w:ilvl w:val="0"/>
          <w:numId w:val="1002"/>
        </w:numPr>
      </w:pPr>
      <w:r>
        <w:t xml:space="preserve">Synthesis cards: 7</w:t>
      </w:r>
    </w:p>
    <w:p>
      <w:pPr>
        <w:pStyle w:val="Compact"/>
        <w:numPr>
          <w:ilvl w:val="0"/>
          <w:numId w:val="1002"/>
        </w:numPr>
      </w:pPr>
      <w:r>
        <w:t xml:space="preserve">recurring_finding: 1</w:t>
      </w:r>
    </w:p>
    <w:p>
      <w:pPr>
        <w:pStyle w:val="Compact"/>
        <w:numPr>
          <w:ilvl w:val="0"/>
          <w:numId w:val="1002"/>
        </w:numPr>
      </w:pPr>
      <w:r>
        <w:t xml:space="preserve">complementary_evidence: 1</w:t>
      </w:r>
    </w:p>
    <w:p>
      <w:pPr>
        <w:pStyle w:val="Compact"/>
        <w:numPr>
          <w:ilvl w:val="0"/>
          <w:numId w:val="1002"/>
        </w:numPr>
      </w:pPr>
      <w:r>
        <w:t xml:space="preserve">source_discrepancy: 1</w:t>
      </w:r>
    </w:p>
    <w:p>
      <w:pPr>
        <w:pStyle w:val="Compact"/>
        <w:numPr>
          <w:ilvl w:val="0"/>
          <w:numId w:val="1002"/>
        </w:numPr>
      </w:pPr>
      <w:r>
        <w:t xml:space="preserve">operational_tradeoff: 2</w:t>
      </w:r>
    </w:p>
    <w:p>
      <w:pPr>
        <w:pStyle w:val="Compact"/>
        <w:numPr>
          <w:ilvl w:val="0"/>
          <w:numId w:val="1002"/>
        </w:numPr>
      </w:pPr>
      <w:r>
        <w:t xml:space="preserve">evidence_gap: 1</w:t>
      </w:r>
    </w:p>
    <w:p>
      <w:pPr>
        <w:pStyle w:val="Compact"/>
        <w:numPr>
          <w:ilvl w:val="0"/>
          <w:numId w:val="1002"/>
        </w:numPr>
      </w:pPr>
      <w:r>
        <w:t xml:space="preserve">outstanding_operational_issue: 1</w:t>
      </w:r>
    </w:p>
    <w:bookmarkEnd w:id="10"/>
    <w:bookmarkStart w:id="11" w:name="evidence-depth"/>
    <w:p>
      <w:pPr>
        <w:pStyle w:val="Heading2"/>
      </w:pPr>
      <w:r>
        <w:t xml:space="preserve">Evidence Depth</w:t>
      </w:r>
    </w:p>
    <w:p>
      <w:pPr>
        <w:pStyle w:val="Compact"/>
        <w:numPr>
          <w:ilvl w:val="0"/>
          <w:numId w:val="1003"/>
        </w:numPr>
      </w:pPr>
      <w:r>
        <w:t xml:space="preserve">source_checked_with_direct_quote: 4</w:t>
      </w:r>
    </w:p>
    <w:p>
      <w:pPr>
        <w:pStyle w:val="Compact"/>
        <w:numPr>
          <w:ilvl w:val="0"/>
          <w:numId w:val="1003"/>
        </w:numPr>
      </w:pPr>
      <w:r>
        <w:t xml:space="preserve">source_checked: 2</w:t>
      </w:r>
    </w:p>
    <w:p>
      <w:pPr>
        <w:pStyle w:val="Compact"/>
        <w:numPr>
          <w:ilvl w:val="0"/>
          <w:numId w:val="1003"/>
        </w:numPr>
      </w:pPr>
      <w:r>
        <w:t xml:space="preserve">ku_only: 1</w:t>
      </w:r>
    </w:p>
    <w:bookmarkEnd w:id="11"/>
    <w:bookmarkStart w:id="19" w:name="cards"/>
    <w:p>
      <w:pPr>
        <w:pStyle w:val="Heading2"/>
      </w:pPr>
      <w:r>
        <w:t xml:space="preserve">Cards</w:t>
      </w:r>
    </w:p>
    <w:bookmarkStart w:id="12" w:name="X274d6b2a4c51fe454fd196bfdf11d6c24f4aeba"/>
    <w:p>
      <w:pPr>
        <w:pStyle w:val="Heading3"/>
      </w:pPr>
      <w:r>
        <w:t xml:space="preserve">SYN-LP-V3-001 - Lake Powell operations are repeatedly framed around low-storage drought response and expiring operating rules</w:t>
      </w:r>
    </w:p>
    <w:p>
      <w:pPr>
        <w:pStyle w:val="FirstParagraph"/>
      </w:pPr>
      <w:r>
        <w:t xml:space="preserve">Type:</w:t>
      </w:r>
      <w:r>
        <w:t xml:space="preserve"> </w:t>
      </w:r>
      <w:r>
        <w:rPr>
          <w:rStyle w:val="VerbatimChar"/>
        </w:rPr>
        <w:t xml:space="preserve">recurring_finding</w:t>
      </w:r>
      <w:r>
        <w:br/>
      </w:r>
      <w:r>
        <w:t xml:space="preserve">Evidence depth:</w:t>
      </w:r>
      <w:r>
        <w:t xml:space="preserve"> </w:t>
      </w:r>
      <w:r>
        <w:rPr>
          <w:rStyle w:val="VerbatimChar"/>
        </w:rPr>
        <w:t xml:space="preserve">source_checked_with_direct_quote</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high</w:t>
      </w:r>
    </w:p>
    <w:p>
      <w:pPr>
        <w:pStyle w:val="BodyText"/>
      </w:pPr>
      <w:r>
        <w:t xml:space="preserve">Summary: Across the post-2026 Draft EIS, Alternatives Report, and June 2026 24-Month Study, Lake Powell operations are not treated as routine annual scheduling; they are framed around prolonged drought, low reservoir elevations, expiring interim agreements, and the need for more robust coordinated rules.</w:t>
      </w:r>
    </w:p>
    <w:p>
      <w:pPr>
        <w:pStyle w:val="BodyText"/>
      </w:pPr>
      <w:r>
        <w:t xml:space="preserve">Interpretation: This recurring pattern is central to the research story: the KB reveals that operating evidence is organized around a transition from interim guideline operation toward drought-contingent and post-2026 rule redesign.</w:t>
      </w:r>
    </w:p>
    <w:p>
      <w:pPr>
        <w:pStyle w:val="BodyText"/>
      </w:pPr>
      <w:r>
        <w:t xml:space="preserve">Based on KUs: KU-LP-V2-FULL-036, KU-LP-V2-FULL-037, KU-LP-V2-FULL-038, KU-LP-V2-FULL-040, KU-LP-V2-FULL-043, KU-LP-V2-FULL-044</w:t>
      </w:r>
    </w:p>
    <w:p>
      <w:pPr>
        <w:pStyle w:val="BodyText"/>
      </w:pPr>
      <w:r>
        <w:t xml:space="preserve">Source locator check: LP-BROAD-T1-005-CHUNK-001 Chapter 1 Purpose and Need; LP-BROAD-T1-006-CHUNK-005 Proposed Federal Action; LP-BROAD-T1-007-CHUNK-001 June 2026 24-Month Study</w:t>
      </w:r>
    </w:p>
    <w:p>
      <w:pPr>
        <w:pStyle w:val="BodyText"/>
      </w:pPr>
      <w:r>
        <w:t xml:space="preserve">Verification note: Reread source context confirms direct wording on historically low elevations, agreements expiring in 2026, updating and expanding management guidelines, and WY2026 Mid-Elevation Release Tier with authority to release less than 7.48 maf.</w:t>
      </w:r>
    </w:p>
    <w:p>
      <w:pPr>
        <w:pStyle w:val="BodyText"/>
      </w:pPr>
      <w:r>
        <w:t xml:space="preserve">Next step: Use this as one candidate top-level finding in the report narrative, then test it against additional reservoirs or a second Colorado River case.</w:t>
      </w:r>
    </w:p>
    <w:bookmarkEnd w:id="12"/>
    <w:bookmarkStart w:id="13" w:name="Xbe84f537f72710174a7eb946324141808b0c26c"/>
    <w:p>
      <w:pPr>
        <w:pStyle w:val="Heading3"/>
      </w:pPr>
      <w:r>
        <w:t xml:space="preserve">SYN-LP-V3-002 - Governance documents, forecasts, operating tiers, and emergency actions provide complementary evidence for the same operating decision chain</w:t>
      </w:r>
    </w:p>
    <w:p>
      <w:pPr>
        <w:pStyle w:val="FirstParagraph"/>
      </w:pPr>
      <w:r>
        <w:t xml:space="preserve">Type:</w:t>
      </w:r>
      <w:r>
        <w:t xml:space="preserve"> </w:t>
      </w:r>
      <w:r>
        <w:rPr>
          <w:rStyle w:val="VerbatimChar"/>
        </w:rPr>
        <w:t xml:space="preserve">complementary_evidence</w:t>
      </w:r>
      <w:r>
        <w:br/>
      </w:r>
      <w:r>
        <w:t xml:space="preserve">Evidence depth:</w:t>
      </w:r>
      <w:r>
        <w:t xml:space="preserve"> </w:t>
      </w:r>
      <w:r>
        <w:rPr>
          <w:rStyle w:val="VerbatimChar"/>
        </w:rPr>
        <w:t xml:space="preserve">source_checked_with_direct_quote</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high</w:t>
      </w:r>
    </w:p>
    <w:p>
      <w:pPr>
        <w:pStyle w:val="BodyText"/>
      </w:pPr>
      <w:r>
        <w:t xml:space="preserve">Summary: The v3 KU set shows a linked evidence chain: governing documents define operating authority, forecasts and 24-Month Studies set conditions, the operating tier establishes expected release logic, and drought-response actions adjust releases and upstream support when projected conditions deteriorate.</w:t>
      </w:r>
    </w:p>
    <w:p>
      <w:pPr>
        <w:pStyle w:val="BodyText"/>
      </w:pPr>
      <w:r>
        <w:t xml:space="preserve">Interpretation: This is exactly where a knowledge base adds value beyond document search: no single KU is the whole story, but together they connect legal authority, hydrologic forecast evidence, release rules, and emergency implementation.</w:t>
      </w:r>
    </w:p>
    <w:p>
      <w:pPr>
        <w:pStyle w:val="BodyText"/>
      </w:pPr>
      <w:r>
        <w:t xml:space="preserve">Based on KUs: KU-LP-V2-FULL-041, KU-LP-V2-FULL-042, KU-LP-V2-FULL-043, KU-LP-V2-FULL-044, KU-LP-V2-FULL-045</w:t>
      </w:r>
    </w:p>
    <w:p>
      <w:pPr>
        <w:pStyle w:val="BodyText"/>
      </w:pPr>
      <w:r>
        <w:t xml:space="preserve">Source locator check: LP-BROAD-T1-007-CHUNK-001 June 2026 Most Probable 24-Month Study; current runoff projections paragraph; DROA release paragraph</w:t>
      </w:r>
    </w:p>
    <w:p>
      <w:pPr>
        <w:pStyle w:val="BodyText"/>
      </w:pPr>
      <w:r>
        <w:t xml:space="preserve">Verification note: Reread source context confirms that the 24-Month Study cites governing documents, CBRFC runoff projections, Mid-Elevation Release Tier, reduction from 7.48 to 6.00 maf, and Flaming Gorge releases to Lake Powell by April 2027.</w:t>
      </w:r>
    </w:p>
    <w:p>
      <w:pPr>
        <w:pStyle w:val="BodyText"/>
      </w:pPr>
      <w:r>
        <w:t xml:space="preserve">Next step: Represent this chain explicitly in the synthesis report, possibly as a diagram from authority -&gt; forecast -&gt; tier -&gt; release adjustment -&gt; upstream support.</w:t>
      </w:r>
    </w:p>
    <w:bookmarkEnd w:id="13"/>
    <w:bookmarkStart w:id="14" w:name="X130c885fc52df6139852731e36bec851f452c69"/>
    <w:p>
      <w:pPr>
        <w:pStyle w:val="Heading3"/>
      </w:pPr>
      <w:r>
        <w:t xml:space="preserve">SYN-LP-V3-003 - The 7.48 maf and 6.00 maf release values are not a simple contradiction; they reflect operating status and decision timing</w:t>
      </w:r>
    </w:p>
    <w:p>
      <w:pPr>
        <w:pStyle w:val="FirstParagraph"/>
      </w:pPr>
      <w:r>
        <w:t xml:space="preserve">Type:</w:t>
      </w:r>
      <w:r>
        <w:t xml:space="preserve"> </w:t>
      </w:r>
      <w:r>
        <w:rPr>
          <w:rStyle w:val="VerbatimChar"/>
        </w:rPr>
        <w:t xml:space="preserve">source_discrepancy</w:t>
      </w:r>
      <w:r>
        <w:br/>
      </w:r>
      <w:r>
        <w:t xml:space="preserve">Evidence depth:</w:t>
      </w:r>
      <w:r>
        <w:t xml:space="preserve"> </w:t>
      </w:r>
      <w:r>
        <w:rPr>
          <w:rStyle w:val="VerbatimChar"/>
        </w:rPr>
        <w:t xml:space="preserve">source_checked_with_direct_quote</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high</w:t>
      </w:r>
    </w:p>
    <w:p>
      <w:pPr>
        <w:pStyle w:val="BodyText"/>
      </w:pPr>
      <w:r>
        <w:t xml:space="preserve">Summary: Multiple KUs contain different WY2026 Lake Powell release values: 7.48 maf appears as an original Mid-Elevation Release Tier projection, while 6.00 maf appears as a later drought-response reduction under Section 6.E. The apparent discrepancy should be handled as version/status metadata rather than treated as source conflict.</w:t>
      </w:r>
    </w:p>
    <w:p>
      <w:pPr>
        <w:pStyle w:val="BodyText"/>
      </w:pPr>
      <w:r>
        <w:t xml:space="preserve">Interpretation: This card shows why synthesis needs provenance: reservoir operation values are conditional and time-stamped. A useful KB must distinguish projected, planned, adjusted, emergency, and final release values.</w:t>
      </w:r>
    </w:p>
    <w:p>
      <w:pPr>
        <w:pStyle w:val="BodyText"/>
      </w:pPr>
      <w:r>
        <w:t xml:space="preserve">Based on KUs: KU-LP-V2-FULL-008, KU-LP-V2-FULL-023, KU-LP-V2-FULL-027, KU-LP-V2-FULL-043, KU-LP-V2-FULL-044, KU-LP-V2-FULL-047</w:t>
      </w:r>
    </w:p>
    <w:p>
      <w:pPr>
        <w:pStyle w:val="BodyText"/>
      </w:pPr>
      <w:r>
        <w:t xml:space="preserve">Source locator check: LP-BROAD-T1-007-CHUNK-001 24-Month Study release discussion; retained HTML KUs from LP-BROAD-T1-001/T1-002/T1-003; LP-BROAD-T1-008 scenario KU</w:t>
      </w:r>
    </w:p>
    <w:p>
      <w:pPr>
        <w:pStyle w:val="BodyText"/>
      </w:pPr>
      <w:r>
        <w:t xml:space="preserve">Verification note: Reread 24-Month Study context confirms both values in sequence: originally projected 7.48 maf and later reduced to 6.00 maf as conditions were projected below 3,500 feet. The other KUs show the same issue appears across source types and scenarios.</w:t>
      </w:r>
    </w:p>
    <w:p>
      <w:pPr>
        <w:pStyle w:val="BodyText"/>
      </w:pPr>
      <w:r>
        <w:t xml:space="preserve">Next step: Add release-status metadata to KU extraction: projected, original tier value, emergency-adjusted value, scenario value, and final observed value.</w:t>
      </w:r>
    </w:p>
    <w:bookmarkEnd w:id="14"/>
    <w:bookmarkStart w:id="15" w:name="Xacb0b6dab3da1094356d9c02afeb2007848d0a7"/>
    <w:p>
      <w:pPr>
        <w:pStyle w:val="Heading3"/>
      </w:pPr>
      <w:r>
        <w:t xml:space="preserve">SYN-LP-V3-004 - Storage protection at Lake Powell creates tradeoffs with downstream releases, hydropower, and compact/governance obligations</w:t>
      </w:r>
    </w:p>
    <w:p>
      <w:pPr>
        <w:pStyle w:val="FirstParagraph"/>
      </w:pPr>
      <w:r>
        <w:t xml:space="preserve">Type:</w:t>
      </w:r>
      <w:r>
        <w:t xml:space="preserve"> </w:t>
      </w:r>
      <w:r>
        <w:rPr>
          <w:rStyle w:val="VerbatimChar"/>
        </w:rPr>
        <w:t xml:space="preserve">operational_tradeoff</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needs_more_evidence</w:t>
      </w:r>
      <w:r>
        <w:br/>
      </w:r>
      <w:r>
        <w:t xml:space="preserve">Confidence:</w:t>
      </w:r>
      <w:r>
        <w:t xml:space="preserve"> </w:t>
      </w:r>
      <w:r>
        <w:rPr>
          <w:rStyle w:val="VerbatimChar"/>
        </w:rPr>
        <w:t xml:space="preserve">medium</w:t>
      </w:r>
    </w:p>
    <w:p>
      <w:pPr>
        <w:pStyle w:val="BodyText"/>
      </w:pPr>
      <w:r>
        <w:t xml:space="preserve">Summary: The KU set shows a persistent operational tension: reducing Lake Powell releases can protect storage and hydropower risk at Glen Canyon Dam, but it changes downstream water movement, can affect Lake Mead and Hoover hydropower, and operates within compact and Lee Ferry delivery obligations.</w:t>
      </w:r>
    </w:p>
    <w:p>
      <w:pPr>
        <w:pStyle w:val="BodyText"/>
      </w:pPr>
      <w:r>
        <w:t xml:space="preserve">Interpretation: This is not a source discrepancy; it is an operational tradeoff across purposes. The synthesis layer is useful because it can hold these objectives together rather than listing them as isolated document facts.</w:t>
      </w:r>
    </w:p>
    <w:p>
      <w:pPr>
        <w:pStyle w:val="BodyText"/>
      </w:pPr>
      <w:r>
        <w:t xml:space="preserve">Based on KUs: KU-LP-V2-FULL-036, KU-LP-V2-FULL-044, KU-LP-V2-FULL-045, KU-LP-V2-FULL-066, KU-LP-V2-FULL-067, KU-LP-V2-FULL-075, KU-LP-V2-FULL-076</w:t>
      </w:r>
    </w:p>
    <w:p>
      <w:pPr>
        <w:pStyle w:val="BodyText"/>
      </w:pPr>
      <w:r>
        <w:t xml:space="preserve">Source locator check: LP-BROAD-T1-005-CHUNK-001 storage/delivery tradeoff; LP-BROAD-T1-007-CHUNK-001 release reduction and Flaming Gorge support; LP-BROAD-T2-004-CHUNK-006 compact/hydropower priority; retained media context KUs for Lake Mead/Hoover impacts</w:t>
      </w:r>
    </w:p>
    <w:p>
      <w:pPr>
        <w:pStyle w:val="BodyText"/>
      </w:pPr>
      <w:r>
        <w:t xml:space="preserve">Verification note: Source rereading confirms the storage-versus-delivery framing and compact/hydropower priority context. Media KUs add downstream-impact context, but the claim should be strengthened with additional official or data sources before being treated as final.</w:t>
      </w:r>
    </w:p>
    <w:p>
      <w:pPr>
        <w:pStyle w:val="BodyText"/>
      </w:pPr>
      <w:r>
        <w:t xml:space="preserve">Next step: For a stronger claim, add more official downstream-impact sources and structured time-series evidence for Lake Mead, Hoover generation, and release timing.</w:t>
      </w:r>
    </w:p>
    <w:bookmarkEnd w:id="15"/>
    <w:bookmarkStart w:id="16" w:name="Xd4d4de4ca472741bb56524f5c677acd1ea648c5"/>
    <w:p>
      <w:pPr>
        <w:pStyle w:val="Heading3"/>
      </w:pPr>
      <w:r>
        <w:t xml:space="preserve">SYN-LP-V3-005 - Temperature and ecological flow objectives interact with physical outlet constraints and hydropower release pathways</w:t>
      </w:r>
    </w:p>
    <w:p>
      <w:pPr>
        <w:pStyle w:val="FirstParagraph"/>
      </w:pPr>
      <w:r>
        <w:t xml:space="preserve">Type:</w:t>
      </w:r>
      <w:r>
        <w:t xml:space="preserve"> </w:t>
      </w:r>
      <w:r>
        <w:rPr>
          <w:rStyle w:val="VerbatimChar"/>
        </w:rPr>
        <w:t xml:space="preserve">operational_tradeoff</w:t>
      </w:r>
      <w:r>
        <w:br/>
      </w:r>
      <w:r>
        <w:t xml:space="preserve">Evidence depth:</w:t>
      </w:r>
      <w:r>
        <w:t xml:space="preserve"> </w:t>
      </w:r>
      <w:r>
        <w:rPr>
          <w:rStyle w:val="VerbatimChar"/>
        </w:rPr>
        <w:t xml:space="preserve">source_checked_with_direct_quote</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high</w:t>
      </w:r>
    </w:p>
    <w:p>
      <w:pPr>
        <w:pStyle w:val="BodyText"/>
      </w:pPr>
      <w:r>
        <w:t xml:space="preserve">Summary: USGS and LTEMP-related KUs show that Glen Canyon Dam ecological operations are constrained by outlet elevation and release pathway: penstocks centered around 3470 fasl generally release warmer water as Lake Powell declines, while deeper river outlet tubes can support cooler releases but change operational routing and may interact with HFE and minimum-flow constraints.</w:t>
      </w:r>
    </w:p>
    <w:p>
      <w:pPr>
        <w:pStyle w:val="BodyText"/>
      </w:pPr>
      <w:r>
        <w:t xml:space="preserve">Interpretation: This synthesis points to a richer engineering story than drought volume alone: low-reservoir operation affects not only how much water is released, but also which physical pathway releases it and what temperature/ecological consequences follow.</w:t>
      </w:r>
    </w:p>
    <w:p>
      <w:pPr>
        <w:pStyle w:val="BodyText"/>
      </w:pPr>
      <w:r>
        <w:t xml:space="preserve">Based on KUs: KU-LP-V2-FULL-048, KU-LP-V2-FULL-051, KU-LP-V2-FULL-053, KU-LP-V2-FULL-060, KU-LP-V2-FULL-061, KU-LP-V2-FULL-062</w:t>
      </w:r>
    </w:p>
    <w:p>
      <w:pPr>
        <w:pStyle w:val="BodyText"/>
      </w:pPr>
      <w:r>
        <w:t xml:space="preserve">Source locator check: LP-BROAD-T2-001-CHUNK-005 outlet elevation and 15.5 C trigger discussion; LP-BROAD-T1-009-CHUNK-001 LTEMP ROD contents; retained LTEMP/AMP webpage KUs</w:t>
      </w:r>
    </w:p>
    <w:p>
      <w:pPr>
        <w:pStyle w:val="BodyText"/>
      </w:pPr>
      <w:r>
        <w:t xml:space="preserve">Verification note: Reread USGS context confirms penstocks centered at 3470 fasl, river outlet tubes at 3370 fasl, the 15.5 C target trigger, and no HFE implementation below 3500 fasl in modeled alternatives. LTEMP/AMP KUs confirm this belongs in an adaptive/ecological operations setting.</w:t>
      </w:r>
    </w:p>
    <w:p>
      <w:pPr>
        <w:pStyle w:val="BodyText"/>
      </w:pPr>
      <w:r>
        <w:t xml:space="preserve">Next step: Build a small focused evidence table for outlet elevation, temperature trigger, HFE constraints, and LTEMP decision rules before using this as a main report claim.</w:t>
      </w:r>
    </w:p>
    <w:bookmarkEnd w:id="16"/>
    <w:bookmarkStart w:id="17" w:name="X0516880ff52fe81f1a6f855498ab696cd18508b"/>
    <w:p>
      <w:pPr>
        <w:pStyle w:val="Heading3"/>
      </w:pPr>
      <w:r>
        <w:t xml:space="preserve">SYN-LP-V3-006 - The current KB needs stronger structured evidence for tables, page anchors, and time-series linkage before quantitative synthesis</w:t>
      </w:r>
    </w:p>
    <w:p>
      <w:pPr>
        <w:pStyle w:val="FirstParagraph"/>
      </w:pPr>
      <w:r>
        <w:t xml:space="preserve">Type:</w:t>
      </w:r>
      <w:r>
        <w:t xml:space="preserve"> </w:t>
      </w:r>
      <w:r>
        <w:rPr>
          <w:rStyle w:val="VerbatimChar"/>
        </w:rPr>
        <w:t xml:space="preserve">evidence_gap</w:t>
      </w:r>
      <w:r>
        <w:br/>
      </w:r>
      <w:r>
        <w:t xml:space="preserve">Evidence depth:</w:t>
      </w:r>
      <w:r>
        <w:t xml:space="preserve"> </w:t>
      </w:r>
      <w:r>
        <w:rPr>
          <w:rStyle w:val="VerbatimChar"/>
        </w:rPr>
        <w:t xml:space="preserve">ku_only</w:t>
      </w:r>
      <w:r>
        <w:br/>
      </w:r>
      <w:r>
        <w:t xml:space="preserve">Research relevance:</w:t>
      </w:r>
      <w:r>
        <w:t xml:space="preserve"> </w:t>
      </w:r>
      <w:r>
        <w:rPr>
          <w:rStyle w:val="VerbatimChar"/>
        </w:rPr>
        <w:t xml:space="preserve">needs_more_evidence</w:t>
      </w:r>
      <w:r>
        <w:br/>
      </w:r>
      <w:r>
        <w:t xml:space="preserve">Confidence:</w:t>
      </w:r>
      <w:r>
        <w:t xml:space="preserve"> </w:t>
      </w:r>
      <w:r>
        <w:rPr>
          <w:rStyle w:val="VerbatimChar"/>
        </w:rPr>
        <w:t xml:space="preserve">medium</w:t>
      </w:r>
    </w:p>
    <w:p>
      <w:pPr>
        <w:pStyle w:val="BodyText"/>
      </w:pPr>
      <w:r>
        <w:t xml:space="preserve">Summary: The v3 workflow improves PDF structure and locators, but several potential claims still need better page-level anchoring and structured extraction of 24-Month Study tables, RISE/API data, release status, and observed-versus-projected time series before robust quantitative synthesis.</w:t>
      </w:r>
    </w:p>
    <w:p>
      <w:pPr>
        <w:pStyle w:val="BodyText"/>
      </w:pPr>
      <w:r>
        <w:t xml:space="preserve">Interpretation: This is a method-facing gap rather than a reservoir-operation conclusion. It tells us what the KB must improve before moving from qualitative synthesis to text-plus-time-series analysis.</w:t>
      </w:r>
    </w:p>
    <w:p>
      <w:pPr>
        <w:pStyle w:val="BodyText"/>
      </w:pPr>
      <w:r>
        <w:t xml:space="preserve">Based on KUs: KU-LP-V2-FULL-032, KU-LP-V2-FULL-033, KU-LP-V2-FULL-042, KU-LP-V2-FULL-047</w:t>
      </w:r>
    </w:p>
    <w:p>
      <w:pPr>
        <w:pStyle w:val="BodyText"/>
      </w:pPr>
      <w:r>
        <w:t xml:space="preserve">Source locator check: No source rereading beyond KU locator review; this is a workflow gap inferred from data/model KUs and current parser outputs.</w:t>
      </w:r>
    </w:p>
    <w:p>
      <w:pPr>
        <w:pStyle w:val="BodyText"/>
      </w:pPr>
      <w:r>
        <w:t xml:space="preserve">Verification note: KUs indicate the presence of web tools, DMDU products, forecasts, and scenario values, but the current synthesis does not yet ingest those tables and APIs as structured numerical data.</w:t>
      </w:r>
    </w:p>
    <w:p>
      <w:pPr>
        <w:pStyle w:val="BodyText"/>
      </w:pPr>
      <w:r>
        <w:t xml:space="preserve">Next step: Add a structured table/API extraction layer and page-level locator support, then rerun v3 KU extraction for data-heavy sources.</w:t>
      </w:r>
    </w:p>
    <w:bookmarkEnd w:id="17"/>
    <w:bookmarkStart w:id="18" w:name="X1d48f4332524289b6d673ad898db61c96af36fa"/>
    <w:p>
      <w:pPr>
        <w:pStyle w:val="Heading3"/>
      </w:pPr>
      <w:r>
        <w:t xml:space="preserve">SYN-LP-V3-007 - The core unresolved issue is how post-2026 rules will coordinate storage protection, delivery reductions, infrastructure limits, ecological operations, and basin governance</w:t>
      </w:r>
    </w:p>
    <w:p>
      <w:pPr>
        <w:pStyle w:val="FirstParagraph"/>
      </w:pPr>
      <w:r>
        <w:t xml:space="preserve">Type:</w:t>
      </w:r>
      <w:r>
        <w:t xml:space="preserve"> </w:t>
      </w:r>
      <w:r>
        <w:rPr>
          <w:rStyle w:val="VerbatimChar"/>
        </w:rPr>
        <w:t xml:space="preserve">outstanding_operational_issue</w:t>
      </w:r>
      <w:r>
        <w:br/>
      </w:r>
      <w:r>
        <w:t xml:space="preserve">Evidence depth:</w:t>
      </w:r>
      <w:r>
        <w:t xml:space="preserve"> </w:t>
      </w:r>
      <w:r>
        <w:rPr>
          <w:rStyle w:val="VerbatimChar"/>
        </w:rPr>
        <w:t xml:space="preserve">source_checked</w:t>
      </w:r>
      <w:r>
        <w:br/>
      </w:r>
      <w:r>
        <w:t xml:space="preserve">Research relevance:</w:t>
      </w:r>
      <w:r>
        <w:t xml:space="preserve"> </w:t>
      </w:r>
      <w:r>
        <w:rPr>
          <w:rStyle w:val="VerbatimChar"/>
        </w:rPr>
        <w:t xml:space="preserve">supports_story</w:t>
      </w:r>
      <w:r>
        <w:br/>
      </w:r>
      <w:r>
        <w:t xml:space="preserve">Confidence:</w:t>
      </w:r>
      <w:r>
        <w:t xml:space="preserve"> </w:t>
      </w:r>
      <w:r>
        <w:rPr>
          <w:rStyle w:val="VerbatimChar"/>
        </w:rPr>
        <w:t xml:space="preserve">medium</w:t>
      </w:r>
    </w:p>
    <w:p>
      <w:pPr>
        <w:pStyle w:val="BodyText"/>
      </w:pPr>
      <w:r>
        <w:t xml:space="preserve">Summary: After combining KUs across official planning documents, operating studies, technical modeling, and context sources, the remaining operational issue is not merely a missing fact. It is the unsettled design of a post-2026 operating framework that can coordinate low-storage protection, water-delivery reductions, physical release limits, ecological flow needs, and basin-state/federal governance.</w:t>
      </w:r>
    </w:p>
    <w:p>
      <w:pPr>
        <w:pStyle w:val="BodyText"/>
      </w:pPr>
      <w:r>
        <w:t xml:space="preserve">Interpretation: This card is the closest to the research-story spine. It states what the project may ultimately be about: using a source-grounded KB to reveal the operational problem that is distributed across legal, engineering, hydrologic, ecological, and governance documents.</w:t>
      </w:r>
    </w:p>
    <w:p>
      <w:pPr>
        <w:pStyle w:val="BodyText"/>
      </w:pPr>
      <w:r>
        <w:t xml:space="preserve">Based on KUs: KU-LP-V2-FULL-020, KU-LP-V2-FULL-030, KU-LP-V2-FULL-035, KU-LP-V2-FULL-037, KU-LP-V2-FULL-039, KU-LP-V2-FULL-040, KU-LP-V2-FULL-072, KU-LP-V2-FULL-077</w:t>
      </w:r>
    </w:p>
    <w:p>
      <w:pPr>
        <w:pStyle w:val="BodyText"/>
      </w:pPr>
      <w:r>
        <w:t xml:space="preserve">Source locator check: LP-BROAD-T1-005-CHUNK-001 Purpose and Need; LP-BROAD-T1-006-CHUNK-001 and CHUNK-005 Alternatives Report; retained Post-2026 web and media KUs</w:t>
      </w:r>
    </w:p>
    <w:p>
      <w:pPr>
        <w:pStyle w:val="BodyText"/>
      </w:pPr>
      <w:r>
        <w:t xml:space="preserve">Verification note: Source rereading confirms the official post-2026 purpose, expiring guideline context, low-storage problem, and need for updated coordinated guidelines. Media/context KUs suggest governance conflict, but official/legal sources should be expanded before finalizing the political-governance part of the claim.</w:t>
      </w:r>
    </w:p>
    <w:p>
      <w:pPr>
        <w:pStyle w:val="BodyText"/>
      </w:pPr>
      <w:r>
        <w:t xml:space="preserve">Next step: Use this as a candidate central research question, then validate it through additional official post-2026 documents and stakeholder/governance sources.</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2026-06-19T21:14:25Z</dcterms:created>
  <dcterms:modified xsi:type="dcterms:W3CDTF">2026-06-19T21:14:25Z</dcterms:modified>
</cp:coreProperties>
</file>

<file path=docProps/custom.xml><?xml version="1.0" encoding="utf-8"?>
<Properties xmlns="http://schemas.openxmlformats.org/officeDocument/2006/custom-properties" xmlns:vt="http://schemas.openxmlformats.org/officeDocument/2006/docPropsVTypes"/>
</file>