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Astra 文档预览验收</w:t>
      </w:r>
    </w:p>
    <w:p>
      <w:r>
        <w:rPr>
          <w:rFonts w:ascii="PingFang SC" w:hAnsi="PingFang SC" w:eastAsia="PingFang SC"/>
        </w:rPr>
        <w:t>中文分页、保存版本与本地转换。中文内容用于检查字体回退。</w:t>
      </w:r>
    </w:p>
    <w:p>
      <w:r>
        <w:rPr>
          <w:rFonts w:ascii="Astra Fixture Missing Font" w:hAnsi="Astra Fixture Missing Font"/>
        </w:rPr>
        <w:t>Missing font fixture</w:t>
      </w:r>
    </w:p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项目</w:t>
            </w:r>
          </w:p>
        </w:tc>
        <w:tc>
          <w:tcPr>
            <w:tcW w:type="dxa" w:w="4320"/>
          </w:tcPr>
          <w:p>
            <w:r>
              <w:t>状态</w:t>
            </w:r>
          </w:p>
        </w:tc>
      </w:tr>
      <w:tr>
        <w:tc>
          <w:tcPr>
            <w:tcW w:type="dxa" w:w="4320"/>
          </w:tcPr>
          <w:p>
            <w:r>
              <w:t>源文件</w:t>
            </w:r>
          </w:p>
        </w:tc>
        <w:tc>
          <w:tcPr>
            <w:tcW w:type="dxa" w:w="4320"/>
          </w:tcPr>
          <w:p>
            <w:r>
              <w:t>保持不变</w:t>
            </w:r>
          </w:p>
        </w:tc>
      </w:tr>
      <w:tr>
        <w:tc>
          <w:tcPr>
            <w:tcW w:type="dxa" w:w="4320"/>
          </w:tcPr>
          <w:p>
            <w:r>
              <w:t>公式</w:t>
            </w:r>
          </w:p>
        </w:tc>
        <w:tc>
          <w:tcPr>
            <w:tcW w:type="dxa" w:w="4320"/>
          </w:tcPr>
          <w:p>
            <w:r>
              <w:t>未计算</w:t>
            </w:r>
          </w:p>
        </w:tc>
      </w:tr>
    </w:tbl>
    <w:p>
      <w:r>
        <w:br w:type="page"/>
      </w:r>
    </w:p>
    <w:p>
      <w:pPr>
        <w:pStyle w:val="Heading1"/>
      </w:pPr>
      <w:r>
        <w:t>第二页</w:t>
      </w:r>
    </w:p>
    <w:p>
      <w:r>
        <w:t>Second page: native PDF preview verification.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