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pPr/>
      <w:r>
        <w:t>NUS ISS Intelligent Reasoning Systems Practice Module | Group 24</w:t>
      </w:r>
    </w:p>
    <w:p>
      <w:pPr/>
      <w:r>
        <w:t>HE ZIHANG | WEI YI | CHI YONGJUN</w:t>
      </w:r>
    </w:p>
    <w:p>
      <w:pPr/>
      <w:r>
        <w:t xml:space="preserve">Report version 0.7 | 12 October 2026</w:t>
      </w:r>
    </w:p>
    <w:p>
      <w:pPr/>
      <w:r>
        <w:rPr>
          <w:b/>
        </w:rPr>
        <w:t>DRAFT — INCOMPLETE — FOR TEAM DISCUSSION</w:t>
      </w:r>
    </w:p>
    <w:p>
      <w:pPr/>
      <w:r>
        <w:t>A working draft for group discussion. Evidence, interpretation and wording require review by all three members. This report is incomplete and is not ready for submission.</w:t>
      </w:r>
    </w:p>
    <w:p>
      <w:pPr/>
      <w:r>
        <w:t>Still pending: human study, independent installation and Windows acceptance, proposal attachment, individual reflections and final packaging.</w:t>
      </w:r>
    </w:p>
    <w:p>
      <w:pPr/>
      <w:r>
        <w:t>Product status: 0.8.0rc5 remains the trial baseline. The final delivery version awaits teammate feedback. Small real-participant sessions are planned for the week of 12 October; their data and analysis remain pending.</w:t>
      </w:r>
    </w:p>
    <w:p>
      <w:pPr/>
      <w:r>
        <w:t>Review agenda and remaining work: docs/report/TEAM-REVIEW.md.</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pPr/>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pPr/>
      <w:r>
        <w:t>The implementation combines production rules, domain and session knowledge graphs, an evidence based decision tree, and message grouping. The agent experiment was run on the release candidate frozen for it, 0.8.0rc2; three further candidates followed, and the version described elsewhere in this report is 0.8.0rc5, with 132 rules and an 81 feature tree that did not change between them. The system focuses on dependencies, import paths, configuration and compatibility. A successful script execution establishes success for that entry and input; it does not establish business logic correctness.</w:t>
      </w:r>
    </w:p>
    <w:p>
      <w:pPr/>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w:t>
      </w:r>
    </w:p>
    <w:p>
      <w:pPr/>
      <w:r>
        <w:t>A separate 132 run cloud comparison with DeepSeek V4.1 Flash was completed and independently recomputed. Both arms repaired all 54 scope runs, leaving no observed repair rate difference. Across the eighteen scope tasks, MCP to baseline ratios were 0.82 for turns, 0.71 for time and 0.72 for tokens. Savings were uneven across tasks, and code defect controls had additional overhead.</w:t>
      </w:r>
    </w:p>
    <w:p>
      <w:pPr/>
      <w:r>
        <w:t>After the agent experiment the frozen product was run on real code defects from BugsInPy. It gave no required environment-changing command for any of 27 defects, but in 24 of them its own check never reached the failing test, because the project's tests could not be collected by a default pytest run. Three further candidates added the option to name the tests to check and removed limits found on the way. Each was tested once on defects it had not seen: with the tests named, the candidate tested saw the failure and closed the issue only after the repair in 9 of 19, 21 of 28 and 27 of 28 defects, and closed none wrongly. These three results come from different versions and material and are not a trend line. In default use on real repositories the same limits largely remain.</w:t>
      </w:r>
    </w:p>
    <w:p>
      <w:pPr/>
      <w:r>
        <w:t>Human usability results remain pending.</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 xml:space="preserve">Mukherjee, Almanza and Rubio-González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 xml:space="preserve">BugsInPy supplies real Python bugs with test suites for controlled testing and debugging research [3]. The paper reports 493 bugs in 17 projects; our repository's index, taken at commit 11c5f1e of the BugsInPy repository, lists 501 bugs in the same 17 projects (the eight additional bugs are all in black),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pPr/>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pPr/>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pPr/>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pPr/>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pPr/>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pPr/>
      <w:r>
        <w:t>These counts describe the agent experiment version. At the rc5 freeze, the rule file still has 132 rules, and the domain file still has 737 removal and 12 deprecation entries. Its source records increase from 190 to 191, and its behaviour entries from 10 to 12.</w:t>
      </w:r>
    </w:p>
    <w:p>
      <w:pPr/>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pPr/>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pPr/>
      <w:r>
        <w:t xml:space="preserve">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 scikit-learn supplies the tree-fitting and TF IDF routines [10].</w:t>
      </w:r>
    </w:p>
    <w:p>
      <w:pPr/>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pPr/>
      <w:r>
        <w:t xml:space="preserve">Message grouping first places events in structural blocks (tool, stage, kind, component, version tokens and, without a component, location) and then compares the normalised messages of a block by character n gram TF IDF with cosine similarity [10], complete link and threshold 0.82. Section 5.9 evaluates the second step. On the recorded data evaluated here it decides nothing that exact matching would not decide the same way; what keeps different problems apart in the product is the block.</w:t>
      </w:r>
    </w:p>
    <w:p>
      <w:pPr>
        <w:pStyle w:val="Heading2"/>
      </w:pPr>
      <w:r>
        <w:t>Ordering and verification</w:t>
      </w:r>
    </w:p>
    <w:p>
      <w:pPr/>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pPr/>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r>
        <w:t>From 0.8.0rc3 the user or agent can name the test files or pytest node IDs to check. The selection is saved with the session and reused when checking again. Without it the product runs pytest as the project's root would by default, which on many real repositories does not collect the test that fails (Section 5.7). From 0.8.0rc5, when a project sets its own pytest options, a repair is confirmed by a second run that uses them; the product closes the issue only if that run executes the same tests and all pass.</w:t>
      </w:r>
    </w:p>
    <w:p>
      <w:pPr>
        <w:pStyle w:val="Heading2"/>
      </w:pPr>
      <w:r>
        <w:t>Interfaces and course techniques</w:t>
      </w:r>
    </w:p>
    <w:p>
      <w:pPr/>
      <w:r>
        <w:t xml:space="preserve">The web interface explains actions and exposes their evidence. The CLI supports repeatable checks and export. The MCP server exposes diagnose, check_again and explain using the Model Context Protocol over stdio [9]; from 0.8.0rc3 diagnose accepts an optional list of tests. Tool names, the other parameters and the descriptions are those the agent experiment used.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rPr>
          <w:cantSplit/>
        </w:trP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rPr>
          <w:cantSplit/>
        </w:trP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rPr>
          <w:cantSplit/>
        </w:trP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rPr>
          <w:cantSplit/>
        </w:trP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pPr/>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pPr/>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pPr/>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pPr/>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pPr/>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pPr/>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identities</w:t>
      </w:r>
    </w:p>
    <w:p>
      <w:pPr/>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pPr/>
      <w:r>
        <w:t>Three candidates followed the experiment. Each was implemented, accepted independently and frozen before it was tested on material it had not seen.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024"/>
        <w:gridCol w:w="5256"/>
      </w:tblGrid>
      <w:tr>
        <w:trPr>
          <w:tblHeader/>
          <w:cantSplit/>
        </w:trPr>
        <w:tc>
          <w:tcPr>
            <w:tcW w:type="dxa" w:w="1080"/>
            <w:vAlign w:val="center"/>
            <w:tcMar>
              <w:top w:w="75" w:type="dxa"/>
              <w:bottom w:w="75" w:type="dxa"/>
              <w:left w:w="90" w:type="dxa"/>
              <w:right w:w="90" w:type="dxa"/>
            </w:tcMar>
            <w:shd w:fill="EAF0F5"/>
          </w:tcPr>
          <w:p>
            <w:pPr>
              <w:spacing w:after="0" w:line="240" w:lineRule="auto"/>
            </w:pPr>
            <w:r>
              <w:rPr>
                <w:b/>
                <w:sz w:val="21"/>
              </w:rPr>
              <w:t>Version</w:t>
            </w:r>
          </w:p>
        </w:tc>
        <w:tc>
          <w:tcPr>
            <w:tcW w:type="dxa" w:w="3024"/>
            <w:vAlign w:val="center"/>
            <w:tcMar>
              <w:top w:w="75" w:type="dxa"/>
              <w:bottom w:w="75" w:type="dxa"/>
              <w:left w:w="90" w:type="dxa"/>
              <w:right w:w="90" w:type="dxa"/>
            </w:tcMar>
            <w:shd w:fill="EAF0F5"/>
          </w:tcPr>
          <w:p>
            <w:pPr>
              <w:spacing w:after="0" w:line="240" w:lineRule="auto"/>
              <w:jc w:val="center"/>
            </w:pPr>
            <w:r>
              <w:rPr>
                <w:b/>
                <w:sz w:val="21"/>
              </w:rPr>
              <w:t>Commit and tag</w:t>
            </w:r>
          </w:p>
        </w:tc>
        <w:tc>
          <w:tcPr>
            <w:tcW w:type="dxa" w:w="5256"/>
            <w:vAlign w:val="center"/>
            <w:tcMar>
              <w:top w:w="75" w:type="dxa"/>
              <w:bottom w:w="75" w:type="dxa"/>
              <w:left w:w="90" w:type="dxa"/>
              <w:right w:w="90" w:type="dxa"/>
            </w:tcMar>
            <w:shd w:fill="EAF0F5"/>
          </w:tcPr>
          <w:p>
            <w:pPr>
              <w:spacing w:after="0" w:line="240" w:lineRule="auto"/>
              <w:jc w:val="center"/>
            </w:pPr>
            <w:r>
              <w:rPr>
                <w:b/>
                <w:sz w:val="21"/>
              </w:rPr>
              <w:t>What changed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0.8.0rc2</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5c224cf</w:t>
            </w:r>
            <w:r>
              <w:rPr>
                <w:sz w:val="21"/>
              </w:rPr>
              <w:t xml:space="preserve">, </w:t>
            </w:r>
            <w:r>
              <w:rPr>
                <w:rFonts w:ascii="Liberation Mono" w:hAnsi="Liberation Mono"/>
                <w:sz w:val="21"/>
              </w:rPr>
              <w:t>b7-freeze-20261007</w:t>
            </w:r>
          </w:p>
        </w:tc>
        <w:tc>
          <w:tcPr>
            <w:tcW w:type="dxa" w:w="5256"/>
            <w:vAlign w:val="center"/>
            <w:tcMar>
              <w:top w:w="75" w:type="dxa"/>
              <w:bottom w:w="75" w:type="dxa"/>
              <w:left w:w="90" w:type="dxa"/>
              <w:right w:w="90" w:type="dxa"/>
            </w:tcMar>
          </w:tcPr>
          <w:p>
            <w:pPr>
              <w:spacing w:after="0" w:line="240" w:lineRule="auto"/>
            </w:pPr>
            <w:r>
              <w:rPr>
                <w:sz w:val="21"/>
              </w:rPr>
              <w:t>The version of the agent experiment</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0.8.0rc3</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7baaec9</w:t>
            </w:r>
            <w:r>
              <w:rPr>
                <w:sz w:val="21"/>
              </w:rPr>
              <w:t xml:space="preserve">, </w:t>
            </w:r>
            <w:r>
              <w:rPr>
                <w:rFonts w:ascii="Liberation Mono" w:hAnsi="Liberation Mono"/>
                <w:sz w:val="21"/>
              </w:rPr>
              <w:t>b12-freeze-20261010</w:t>
            </w:r>
          </w:p>
        </w:tc>
        <w:tc>
          <w:tcPr>
            <w:tcW w:type="dxa" w:w="5256"/>
            <w:vAlign w:val="center"/>
            <w:tcMar>
              <w:top w:w="75" w:type="dxa"/>
              <w:bottom w:w="75" w:type="dxa"/>
              <w:left w:w="90" w:type="dxa"/>
              <w:right w:w="90" w:type="dxa"/>
            </w:tcMar>
          </w:tcPr>
          <w:p>
            <w:pPr>
              <w:spacing w:after="0" w:line="240" w:lineRule="auto"/>
            </w:pPr>
            <w:r>
              <w:rPr>
                <w:sz w:val="21"/>
              </w:rPr>
              <w:t>Tests to check can be named in the CLI, the web form and MCP; a default run that collects nothing says so; one rule narrowed; a crash while stopping child processes fixed</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0.8.0rc4</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1cad89a</w:t>
            </w:r>
            <w:r>
              <w:rPr>
                <w:sz w:val="21"/>
              </w:rPr>
              <w:t xml:space="preserve">, </w:t>
            </w:r>
            <w:r>
              <w:rPr>
                <w:rFonts w:ascii="Liberation Mono" w:hAnsi="Liberation Mono"/>
                <w:sz w:val="21"/>
              </w:rPr>
              <w:t>b12-rc4-freeze-20261010</w:t>
            </w:r>
          </w:p>
        </w:tc>
        <w:tc>
          <w:tcPr>
            <w:tcW w:type="dxa" w:w="5256"/>
            <w:vAlign w:val="center"/>
            <w:tcMar>
              <w:top w:w="75" w:type="dxa"/>
              <w:bottom w:w="75" w:type="dxa"/>
              <w:left w:w="90" w:type="dxa"/>
              <w:right w:w="90" w:type="dxa"/>
            </w:tcMar>
          </w:tcPr>
          <w:p>
            <w:pPr>
              <w:spacing w:after="0" w:line="240" w:lineRule="auto"/>
            </w:pPr>
            <w:r>
              <w:rPr>
                <w:sz w:val="21"/>
              </w:rPr>
              <w:t>The pytest plugin no longer depends on environment variables while tests run</w:t>
            </w:r>
          </w:p>
        </w:tc>
      </w:tr>
      <w:tr>
        <w:trPr>
          <w:cantSplit/>
        </w:trPr>
        <w:tc>
          <w:tcPr>
            <w:tcW w:type="dxa" w:w="1080"/>
            <w:vAlign w:val="center"/>
            <w:tcMar>
              <w:top w:w="75" w:type="dxa"/>
              <w:bottom w:w="75" w:type="dxa"/>
              <w:left w:w="90" w:type="dxa"/>
              <w:right w:w="90" w:type="dxa"/>
            </w:tcMar>
          </w:tcPr>
          <w:p>
            <w:pPr>
              <w:spacing w:after="0" w:line="240" w:lineRule="auto"/>
            </w:pPr>
            <w:r>
              <w:rPr>
                <w:sz w:val="21"/>
              </w:rPr>
              <w:t>0.8.0rc5</w:t>
            </w:r>
          </w:p>
        </w:tc>
        <w:tc>
          <w:tcPr>
            <w:tcW w:type="dxa" w:w="3024"/>
            <w:vAlign w:val="center"/>
            <w:tcMar>
              <w:top w:w="75" w:type="dxa"/>
              <w:bottom w:w="75" w:type="dxa"/>
              <w:left w:w="90" w:type="dxa"/>
              <w:right w:w="90" w:type="dxa"/>
            </w:tcMar>
          </w:tcPr>
          <w:p>
            <w:pPr>
              <w:spacing w:after="0" w:line="240" w:lineRule="auto"/>
            </w:pPr>
            <w:r>
              <w:rPr>
                <w:rFonts w:ascii="Liberation Mono" w:hAnsi="Liberation Mono"/>
                <w:sz w:val="21"/>
              </w:rPr>
              <w:t>646c12a</w:t>
            </w:r>
            <w:r>
              <w:rPr>
                <w:sz w:val="21"/>
              </w:rPr>
              <w:t xml:space="preserve">, </w:t>
            </w:r>
            <w:r>
              <w:rPr>
                <w:rFonts w:ascii="Liberation Mono" w:hAnsi="Liberation Mono"/>
                <w:sz w:val="21"/>
              </w:rPr>
              <w:t>b12-rc5-freeze-20261010</w:t>
            </w:r>
          </w:p>
        </w:tc>
        <w:tc>
          <w:tcPr>
            <w:tcW w:type="dxa" w:w="5256"/>
            <w:vAlign w:val="center"/>
            <w:tcMar>
              <w:top w:w="75" w:type="dxa"/>
              <w:bottom w:w="75" w:type="dxa"/>
              <w:left w:w="90" w:type="dxa"/>
              <w:right w:w="90" w:type="dxa"/>
            </w:tcMar>
          </w:tcPr>
          <w:p>
            <w:pPr>
              <w:spacing w:after="0" w:line="240" w:lineRule="auto"/>
            </w:pPr>
            <w:r>
              <w:rPr>
                <w:sz w:val="21"/>
              </w:rPr>
              <w:t>pytest from 3.2.1; test names of pytest 3.x classes; large suites keep their failure records and say when records are incomplete; an internal pytest error is reported as such; two knowledge entries; confirmation with the project's own pytest options</w:t>
            </w:r>
          </w:p>
        </w:tc>
      </w:tr>
    </w:tbl>
    <w:p>
      <w:pPr>
        <w:spacing w:after="40"/>
      </w:pPr>
    </w:p>
    <w:p>
      <w:pPr/>
      <w:r>
        <w:t>The decision tree file and the feature computation are identical in all four. The public main branch holds the source of 0.8.0rc5 with one later repair in a dataset generator (</w:t>
      </w:r>
      <w:r>
        <w:rPr>
          <w:rFonts w:ascii="Liberation Mono" w:hAnsi="Liberation Mono"/>
          <w:sz w:val="20"/>
        </w:rPr>
        <w:t>fixfirst dataset --suite execution</w:t>
      </w:r>
      <w:r>
        <w:t>), which no diagnosis path uses.</w:t>
      </w:r>
    </w:p>
    <w:p>
      <w:pPr/>
      <w:r>
        <w:rPr>
          <w:b/>
        </w:rPr>
        <w:t>Report compatibility across versions.</w:t>
      </w:r>
      <w:r>
        <w:t xml:space="preserve"> No agent run was repeated on a later version. The two task packs were replayed without a model: 0.8.0rc3 and rc4 return word for word the reports of 0.8.0rc2 for all 34 tasks. 0.8.0rc5 differs in three: eb1, where the first step now gives a change that can be followed, and the two E tasks. For 17 of the 18 tasks of the main analysis the first report an agent would receive is therefore unchanged, and eb1 supplies different advice that would need a new agent evaluation. Following the first step by script repairs 17 of the 22 evaluation tasks on 0.8.0rc2 and 18 on 0.8.0rc5. The effect of naming tests on an agent was not measured.</w:t>
      </w:r>
    </w:p>
    <w:p>
      <w:pPr/>
      <w:r>
        <w:t>Agreement of these first reports is an output compatibility check. It does not remeasure agent repair rates or efficiency on rc5; all agent effect estimates in this report remain results of the frozen rc2 experiment.</w:t>
      </w:r>
    </w:p>
    <w:p>
      <w:pPr/>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pPr/>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296"/>
        <w:gridCol w:w="5184"/>
      </w:tblGrid>
      <w:tr>
        <w:trPr>
          <w:tblHeader/>
          <w:cantSplit/>
        </w:trPr>
        <w:tc>
          <w:tcPr>
            <w:tcW w:type="dxa" w:w="2880"/>
            <w:vAlign w:val="center"/>
            <w:tcMar>
              <w:top w:w="75" w:type="dxa"/>
              <w:bottom w:w="75" w:type="dxa"/>
              <w:left w:w="90" w:type="dxa"/>
              <w:right w:w="90" w:type="dxa"/>
            </w:tcMar>
            <w:shd w:fill="EAF0F5"/>
          </w:tcPr>
          <w:p>
            <w:pPr>
              <w:spacing w:after="0" w:line="240" w:lineRule="auto"/>
            </w:pPr>
            <w:r>
              <w:rPr>
                <w:b/>
                <w:sz w:val="21"/>
              </w:rPr>
              <w:t>Material</w:t>
            </w:r>
          </w:p>
        </w:tc>
        <w:tc>
          <w:tcPr>
            <w:tcW w:type="dxa" w:w="129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5184"/>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rPr>
          <w:cantSplit/>
        </w:trPr>
        <w:tc>
          <w:tcPr>
            <w:tcW w:type="dxa" w:w="2880"/>
            <w:vAlign w:val="center"/>
            <w:tcMar>
              <w:top w:w="75" w:type="dxa"/>
              <w:bottom w:w="75" w:type="dxa"/>
              <w:left w:w="90" w:type="dxa"/>
              <w:right w:w="90" w:type="dxa"/>
            </w:tcMar>
          </w:tcPr>
          <w:p>
            <w:pPr>
              <w:spacing w:after="0" w:line="240" w:lineRule="auto"/>
            </w:pPr>
            <w:r>
              <w:rPr>
                <w:sz w:val="21"/>
              </w:rPr>
              <w:t>Fixed execution based training records</w:t>
            </w:r>
          </w:p>
        </w:tc>
        <w:tc>
          <w:tcPr>
            <w:tcW w:type="dxa" w:w="1296"/>
            <w:vAlign w:val="center"/>
            <w:tcMar>
              <w:top w:w="75" w:type="dxa"/>
              <w:bottom w:w="75" w:type="dxa"/>
              <w:left w:w="90" w:type="dxa"/>
              <w:right w:w="90" w:type="dxa"/>
            </w:tcMar>
          </w:tcPr>
          <w:p>
            <w:pPr>
              <w:spacing w:after="0" w:line="240" w:lineRule="auto"/>
              <w:jc w:val="center"/>
            </w:pPr>
            <w:r>
              <w:rPr>
                <w:sz w:val="21"/>
              </w:rPr>
              <w:t>215</w:t>
            </w:r>
          </w:p>
        </w:tc>
        <w:tc>
          <w:tcPr>
            <w:tcW w:type="dxa" w:w="5184"/>
            <w:vAlign w:val="center"/>
            <w:tcMar>
              <w:top w:w="75" w:type="dxa"/>
              <w:bottom w:w="75" w:type="dxa"/>
              <w:left w:w="90" w:type="dxa"/>
              <w:right w:w="90" w:type="dxa"/>
            </w:tcMar>
          </w:tcPr>
          <w:p>
            <w:pPr>
              <w:spacing w:after="0" w:line="240" w:lineRule="auto"/>
            </w:pPr>
            <w:r>
              <w:rPr>
                <w:sz w:val="21"/>
              </w:rPr>
              <w:t>Train the default tree; development data</w:t>
            </w:r>
          </w:p>
        </w:tc>
      </w:tr>
      <w:tr>
        <w:trPr>
          <w:cantSplit/>
        </w:trPr>
        <w:tc>
          <w:tcPr>
            <w:tcW w:type="dxa" w:w="2880"/>
            <w:vAlign w:val="center"/>
            <w:tcMar>
              <w:top w:w="75" w:type="dxa"/>
              <w:bottom w:w="75" w:type="dxa"/>
              <w:left w:w="90" w:type="dxa"/>
              <w:right w:w="90" w:type="dxa"/>
            </w:tcMar>
          </w:tcPr>
          <w:p>
            <w:pPr>
              <w:spacing w:after="0" w:line="240" w:lineRule="auto"/>
            </w:pPr>
            <w:r>
              <w:rPr>
                <w:sz w:val="21"/>
              </w:rPr>
              <w:t>B3 ordinary and difficult cases</w:t>
            </w:r>
          </w:p>
        </w:tc>
        <w:tc>
          <w:tcPr>
            <w:tcW w:type="dxa" w:w="1296"/>
            <w:vAlign w:val="center"/>
            <w:tcMar>
              <w:top w:w="75" w:type="dxa"/>
              <w:bottom w:w="75" w:type="dxa"/>
              <w:left w:w="90" w:type="dxa"/>
              <w:right w:w="90" w:type="dxa"/>
            </w:tcMar>
          </w:tcPr>
          <w:p>
            <w:pPr>
              <w:spacing w:after="0" w:line="240" w:lineRule="auto"/>
              <w:jc w:val="center"/>
            </w:pPr>
            <w:r>
              <w:rPr>
                <w:sz w:val="21"/>
              </w:rPr>
              <w:t>220 and 30</w:t>
            </w:r>
          </w:p>
        </w:tc>
        <w:tc>
          <w:tcPr>
            <w:tcW w:type="dxa" w:w="5184"/>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rPr>
          <w:cantSplit/>
        </w:trPr>
        <w:tc>
          <w:tcPr>
            <w:tcW w:type="dxa" w:w="2880"/>
            <w:vAlign w:val="center"/>
            <w:tcMar>
              <w:top w:w="75" w:type="dxa"/>
              <w:bottom w:w="75" w:type="dxa"/>
              <w:left w:w="90" w:type="dxa"/>
              <w:right w:w="90" w:type="dxa"/>
            </w:tcMar>
          </w:tcPr>
          <w:p>
            <w:pPr>
              <w:spacing w:after="0" w:line="240" w:lineRule="auto"/>
            </w:pPr>
            <w:r>
              <w:rPr>
                <w:sz w:val="21"/>
              </w:rPr>
              <w:t>A2 real projects</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rPr>
          <w:cantSplit/>
        </w:trPr>
        <w:tc>
          <w:tcPr>
            <w:tcW w:type="dxa" w:w="2880"/>
            <w:vAlign w:val="center"/>
            <w:tcMar>
              <w:top w:w="75" w:type="dxa"/>
              <w:bottom w:w="75" w:type="dxa"/>
              <w:left w:w="90" w:type="dxa"/>
              <w:right w:w="90" w:type="dxa"/>
            </w:tcMar>
          </w:tcPr>
          <w:p>
            <w:pPr>
              <w:spacing w:after="0" w:line="240" w:lineRule="auto"/>
            </w:pPr>
            <w:r>
              <w:rPr>
                <w:sz w:val="21"/>
              </w:rPr>
              <w:t>B7 public development pack</w:t>
            </w:r>
          </w:p>
        </w:tc>
        <w:tc>
          <w:tcPr>
            <w:tcW w:type="dxa" w:w="1296"/>
            <w:vAlign w:val="center"/>
            <w:tcMar>
              <w:top w:w="75" w:type="dxa"/>
              <w:bottom w:w="75" w:type="dxa"/>
              <w:left w:w="90" w:type="dxa"/>
              <w:right w:w="90" w:type="dxa"/>
            </w:tcMar>
          </w:tcPr>
          <w:p>
            <w:pPr>
              <w:spacing w:after="0" w:line="240" w:lineRule="auto"/>
              <w:jc w:val="center"/>
            </w:pPr>
            <w:r>
              <w:rPr>
                <w:sz w:val="21"/>
              </w:rPr>
              <w:t>12</w:t>
            </w:r>
          </w:p>
        </w:tc>
        <w:tc>
          <w:tcPr>
            <w:tcW w:type="dxa" w:w="5184"/>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rPr>
          <w:cantSplit/>
        </w:trPr>
        <w:tc>
          <w:tcPr>
            <w:tcW w:type="dxa" w:w="2880"/>
            <w:vAlign w:val="center"/>
            <w:tcMar>
              <w:top w:w="75" w:type="dxa"/>
              <w:bottom w:w="75" w:type="dxa"/>
              <w:left w:w="90" w:type="dxa"/>
              <w:right w:w="90" w:type="dxa"/>
            </w:tcMar>
          </w:tcPr>
          <w:p>
            <w:pPr>
              <w:spacing w:after="0" w:line="240" w:lineRule="auto"/>
            </w:pPr>
            <w:r>
              <w:rPr>
                <w:sz w:val="21"/>
              </w:rPr>
              <w:t>B7 sealed evaluation pack</w:t>
            </w:r>
          </w:p>
        </w:tc>
        <w:tc>
          <w:tcPr>
            <w:tcW w:type="dxa" w:w="1296"/>
            <w:vAlign w:val="center"/>
            <w:tcMar>
              <w:top w:w="75" w:type="dxa"/>
              <w:bottom w:w="75" w:type="dxa"/>
              <w:left w:w="90" w:type="dxa"/>
              <w:right w:w="90" w:type="dxa"/>
            </w:tcMar>
          </w:tcPr>
          <w:p>
            <w:pPr>
              <w:spacing w:after="0" w:line="240" w:lineRule="auto"/>
              <w:jc w:val="center"/>
            </w:pPr>
            <w:r>
              <w:rPr>
                <w:sz w:val="21"/>
              </w:rPr>
              <w:t>22</w:t>
            </w:r>
          </w:p>
        </w:tc>
        <w:tc>
          <w:tcPr>
            <w:tcW w:type="dxa" w:w="5184"/>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rPr>
          <w:cantSplit/>
        </w:trPr>
        <w:tc>
          <w:tcPr>
            <w:tcW w:type="dxa" w:w="2880"/>
            <w:vAlign w:val="center"/>
            <w:tcMar>
              <w:top w:w="75" w:type="dxa"/>
              <w:bottom w:w="75" w:type="dxa"/>
              <w:left w:w="90" w:type="dxa"/>
              <w:right w:w="90" w:type="dxa"/>
            </w:tcMar>
          </w:tcPr>
          <w:p>
            <w:pPr>
              <w:spacing w:after="0" w:line="240" w:lineRule="auto"/>
            </w:pPr>
            <w:r>
              <w:rPr>
                <w:sz w:val="21"/>
              </w:rPr>
              <w:t>BugsInPy phase two</w:t>
            </w:r>
          </w:p>
        </w:tc>
        <w:tc>
          <w:tcPr>
            <w:tcW w:type="dxa" w:w="1296"/>
            <w:vAlign w:val="center"/>
            <w:tcMar>
              <w:top w:w="75" w:type="dxa"/>
              <w:bottom w:w="75" w:type="dxa"/>
              <w:left w:w="90" w:type="dxa"/>
              <w:right w:w="90" w:type="dxa"/>
            </w:tcMar>
          </w:tcPr>
          <w:p>
            <w:pPr>
              <w:spacing w:after="0" w:line="240" w:lineRule="auto"/>
            </w:pPr>
            <w:r>
              <w:rPr>
                <w:sz w:val="21"/>
              </w:rPr>
              <w:t>27 defects of 3 projects</w:t>
            </w:r>
          </w:p>
        </w:tc>
        <w:tc>
          <w:tcPr>
            <w:tcW w:type="dxa" w:w="5184"/>
            <w:vAlign w:val="center"/>
            <w:tcMar>
              <w:top w:w="75" w:type="dxa"/>
              <w:bottom w:w="75" w:type="dxa"/>
              <w:left w:w="90" w:type="dxa"/>
              <w:right w:w="90" w:type="dxa"/>
            </w:tcMar>
          </w:tcPr>
          <w:p>
            <w:pPr>
              <w:spacing w:after="0" w:line="240" w:lineRule="auto"/>
            </w:pPr>
            <w:r>
              <w:rPr>
                <w:sz w:val="21"/>
              </w:rPr>
              <w:t>The frozen 0.8.0rc2 in default use; development data afterwards</w:t>
            </w:r>
          </w:p>
        </w:tc>
      </w:tr>
      <w:tr>
        <w:trPr>
          <w:cantSplit/>
        </w:trPr>
        <w:tc>
          <w:tcPr>
            <w:tcW w:type="dxa" w:w="2880"/>
            <w:vAlign w:val="center"/>
            <w:tcMar>
              <w:top w:w="75" w:type="dxa"/>
              <w:bottom w:w="75" w:type="dxa"/>
              <w:left w:w="90" w:type="dxa"/>
              <w:right w:w="90" w:type="dxa"/>
            </w:tcMar>
          </w:tcPr>
          <w:p>
            <w:pPr>
              <w:spacing w:after="0" w:line="240" w:lineRule="auto"/>
            </w:pPr>
            <w:r>
              <w:rPr>
                <w:sz w:val="21"/>
              </w:rPr>
              <w:t>Three held-out sets of BugsInPy defects</w:t>
            </w:r>
          </w:p>
        </w:tc>
        <w:tc>
          <w:tcPr>
            <w:tcW w:type="dxa" w:w="1296"/>
            <w:vAlign w:val="center"/>
            <w:tcMar>
              <w:top w:w="75" w:type="dxa"/>
              <w:bottom w:w="75" w:type="dxa"/>
              <w:left w:w="90" w:type="dxa"/>
              <w:right w:w="90" w:type="dxa"/>
            </w:tcMar>
          </w:tcPr>
          <w:p>
            <w:pPr>
              <w:spacing w:after="0" w:line="240" w:lineRule="auto"/>
              <w:jc w:val="center"/>
            </w:pPr>
            <w:r>
              <w:rPr>
                <w:sz w:val="21"/>
              </w:rPr>
              <w:t>19, 28 and 28</w:t>
            </w:r>
          </w:p>
        </w:tc>
        <w:tc>
          <w:tcPr>
            <w:tcW w:type="dxa" w:w="5184"/>
            <w:vAlign w:val="center"/>
            <w:tcMar>
              <w:top w:w="75" w:type="dxa"/>
              <w:bottom w:w="75" w:type="dxa"/>
              <w:left w:w="90" w:type="dxa"/>
              <w:right w:w="90" w:type="dxa"/>
            </w:tcMar>
          </w:tcPr>
          <w:p>
            <w:pPr>
              <w:spacing w:after="0" w:line="240" w:lineRule="auto"/>
            </w:pPr>
            <w:r>
              <w:rPr>
                <w:sz w:val="21"/>
              </w:rPr>
              <w:t>Each sealed after reproduction only and used once on a version frozen before the test</w:t>
            </w:r>
          </w:p>
        </w:tc>
      </w:tr>
      <w:tr>
        <w:trPr>
          <w:cantSplit/>
        </w:trPr>
        <w:tc>
          <w:tcPr>
            <w:tcW w:type="dxa" w:w="2880"/>
            <w:vAlign w:val="center"/>
            <w:tcMar>
              <w:top w:w="75" w:type="dxa"/>
              <w:bottom w:w="75" w:type="dxa"/>
              <w:left w:w="90" w:type="dxa"/>
              <w:right w:w="90" w:type="dxa"/>
            </w:tcMar>
          </w:tcPr>
          <w:p>
            <w:pPr>
              <w:spacing w:after="0" w:line="240" w:lineRule="auto"/>
            </w:pPr>
            <w:r>
              <w:rPr>
                <w:sz w:val="21"/>
              </w:rPr>
              <w:t>Constructed grouping pairs</w:t>
            </w:r>
          </w:p>
        </w:tc>
        <w:tc>
          <w:tcPr>
            <w:tcW w:type="dxa" w:w="1296"/>
            <w:vAlign w:val="center"/>
            <w:tcMar>
              <w:top w:w="75" w:type="dxa"/>
              <w:bottom w:w="75" w:type="dxa"/>
              <w:left w:w="90" w:type="dxa"/>
              <w:right w:w="90" w:type="dxa"/>
            </w:tcMar>
          </w:tcPr>
          <w:p>
            <w:pPr>
              <w:spacing w:after="0" w:line="240" w:lineRule="auto"/>
              <w:jc w:val="center"/>
            </w:pPr>
            <w:r>
              <w:rPr>
                <w:sz w:val="21"/>
              </w:rPr>
              <w:t>394</w:t>
            </w:r>
          </w:p>
        </w:tc>
        <w:tc>
          <w:tcPr>
            <w:tcW w:type="dxa" w:w="5184"/>
            <w:vAlign w:val="center"/>
            <w:tcMar>
              <w:top w:w="75" w:type="dxa"/>
              <w:bottom w:w="75" w:type="dxa"/>
              <w:left w:w="90" w:type="dxa"/>
              <w:right w:w="90" w:type="dxa"/>
            </w:tcMar>
          </w:tcPr>
          <w:p>
            <w:pPr>
              <w:spacing w:after="0" w:line="240" w:lineRule="auto"/>
            </w:pPr>
            <w:r>
              <w:rPr>
                <w:sz w:val="21"/>
              </w:rPr>
              <w:t>A test of the similarity step alone; built by rule from saved messages</w:t>
            </w:r>
          </w:p>
        </w:tc>
      </w:tr>
      <w:tr>
        <w:trPr>
          <w:cantSplit/>
        </w:trPr>
        <w:tc>
          <w:tcPr>
            <w:tcW w:type="dxa" w:w="2880"/>
            <w:vAlign w:val="center"/>
            <w:tcMar>
              <w:top w:w="75" w:type="dxa"/>
              <w:bottom w:w="75" w:type="dxa"/>
              <w:left w:w="90" w:type="dxa"/>
              <w:right w:w="90" w:type="dxa"/>
            </w:tcMar>
          </w:tcPr>
          <w:p>
            <w:pPr>
              <w:spacing w:after="0" w:line="240" w:lineRule="auto"/>
            </w:pPr>
            <w:r>
              <w:rPr>
                <w:sz w:val="21"/>
              </w:rPr>
              <w:t>Multi-fault cases M1 to M5</w:t>
            </w:r>
          </w:p>
        </w:tc>
        <w:tc>
          <w:tcPr>
            <w:tcW w:type="dxa" w:w="1296"/>
            <w:vAlign w:val="center"/>
            <w:tcMar>
              <w:top w:w="75" w:type="dxa"/>
              <w:bottom w:w="75" w:type="dxa"/>
              <w:left w:w="90" w:type="dxa"/>
              <w:right w:w="90" w:type="dxa"/>
            </w:tcMar>
          </w:tcPr>
          <w:p>
            <w:pPr>
              <w:spacing w:after="0" w:line="240" w:lineRule="auto"/>
              <w:jc w:val="center"/>
            </w:pPr>
            <w:r>
              <w:rPr>
                <w:sz w:val="21"/>
              </w:rPr>
              <w:t>5</w:t>
            </w:r>
          </w:p>
        </w:tc>
        <w:tc>
          <w:tcPr>
            <w:tcW w:type="dxa" w:w="5184"/>
            <w:vAlign w:val="center"/>
            <w:tcMar>
              <w:top w:w="75" w:type="dxa"/>
              <w:bottom w:w="75" w:type="dxa"/>
              <w:left w:w="90" w:type="dxa"/>
              <w:right w:w="90" w:type="dxa"/>
            </w:tcMar>
          </w:tcPr>
          <w:p>
            <w:pPr>
              <w:spacing w:after="0" w:line="240" w:lineRule="auto"/>
            </w:pPr>
            <w:r>
              <w:rPr>
                <w:sz w:val="21"/>
              </w:rPr>
              <w:t>Next-step ordering; built before the first freeze, development material</w:t>
            </w:r>
          </w:p>
        </w:tc>
      </w:tr>
      <w:tr>
        <w:trPr>
          <w:cantSplit/>
        </w:trPr>
        <w:tc>
          <w:tcPr>
            <w:tcW w:type="dxa" w:w="2880"/>
            <w:vAlign w:val="center"/>
            <w:tcMar>
              <w:top w:w="75" w:type="dxa"/>
              <w:bottom w:w="75" w:type="dxa"/>
              <w:left w:w="90" w:type="dxa"/>
              <w:right w:w="90" w:type="dxa"/>
            </w:tcMar>
          </w:tcPr>
          <w:p>
            <w:pPr>
              <w:spacing w:after="0" w:line="240" w:lineRule="auto"/>
            </w:pPr>
            <w:r>
              <w:rPr>
                <w:sz w:val="21"/>
              </w:rPr>
              <w:t>Early two-project agent runs</w:t>
            </w:r>
          </w:p>
        </w:tc>
        <w:tc>
          <w:tcPr>
            <w:tcW w:type="dxa" w:w="1296"/>
            <w:vAlign w:val="center"/>
            <w:tcMar>
              <w:top w:w="75" w:type="dxa"/>
              <w:bottom w:w="75" w:type="dxa"/>
              <w:left w:w="90" w:type="dxa"/>
              <w:right w:w="90" w:type="dxa"/>
            </w:tcMar>
          </w:tcPr>
          <w:p>
            <w:pPr>
              <w:spacing w:after="0" w:line="240" w:lineRule="auto"/>
              <w:jc w:val="center"/>
            </w:pPr>
            <w:r>
              <w:rPr>
                <w:sz w:val="21"/>
              </w:rPr>
              <w:t>84</w:t>
            </w:r>
          </w:p>
        </w:tc>
        <w:tc>
          <w:tcPr>
            <w:tcW w:type="dxa" w:w="5184"/>
            <w:vAlign w:val="center"/>
            <w:tcMar>
              <w:top w:w="75" w:type="dxa"/>
              <w:bottom w:w="75" w:type="dxa"/>
              <w:left w:w="90" w:type="dxa"/>
              <w:right w:w="90" w:type="dxa"/>
            </w:tcMar>
          </w:tcPr>
          <w:p>
            <w:pPr>
              <w:spacing w:after="0" w:line="240" w:lineRule="auto"/>
            </w:pPr>
            <w:r>
              <w:rPr>
                <w:sz w:val="21"/>
              </w:rPr>
              <w:t>Development runs that led to the change of tasks; not an effect estimate</w:t>
            </w:r>
          </w:p>
        </w:tc>
      </w:tr>
      <w:tr>
        <w:trPr>
          <w:cantSplit/>
        </w:trPr>
        <w:tc>
          <w:tcPr>
            <w:tcW w:type="dxa" w:w="2880"/>
            <w:vAlign w:val="center"/>
            <w:tcMar>
              <w:top w:w="75" w:type="dxa"/>
              <w:bottom w:w="75" w:type="dxa"/>
              <w:left w:w="90" w:type="dxa"/>
              <w:right w:w="90" w:type="dxa"/>
            </w:tcMar>
          </w:tcPr>
          <w:p>
            <w:pPr>
              <w:spacing w:after="0" w:line="240" w:lineRule="auto"/>
            </w:pPr>
            <w:r>
              <w:rPr>
                <w:sz w:val="21"/>
              </w:rPr>
              <w:t>User study fixtures</w:t>
            </w:r>
          </w:p>
        </w:tc>
        <w:tc>
          <w:tcPr>
            <w:tcW w:type="dxa" w:w="1296"/>
            <w:vAlign w:val="center"/>
            <w:tcMar>
              <w:top w:w="75" w:type="dxa"/>
              <w:bottom w:w="75" w:type="dxa"/>
              <w:left w:w="90" w:type="dxa"/>
              <w:right w:w="90" w:type="dxa"/>
            </w:tcMar>
          </w:tcPr>
          <w:p>
            <w:pPr>
              <w:spacing w:after="0" w:line="240" w:lineRule="auto"/>
              <w:jc w:val="center"/>
            </w:pPr>
            <w:r>
              <w:rPr>
                <w:sz w:val="21"/>
              </w:rPr>
              <w:t>Example rows only</w:t>
            </w:r>
          </w:p>
        </w:tc>
        <w:tc>
          <w:tcPr>
            <w:tcW w:type="dxa" w:w="5184"/>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pPr/>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pPr/>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pPr/>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r>
        <w:rPr>
          <w:b/>
        </w:rPr>
        <w:t>The frozen 0.8.0rc5.</w:t>
      </w:r>
      <w:r>
        <w:t xml:space="preserve"> The comparison was repeated on the 220 ordinary cases (5 templates × 44 scenarios) and 30 difficult cases sealed for the language model comparison, from saved observations and without executing a project. The command fits a tree of its own for every fold; the shipped tree is not retrained.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232"/>
        <w:gridCol w:w="2232"/>
      </w:tblGrid>
      <w:tr>
        <w:trPr>
          <w:tblHeader/>
          <w:cantSplit/>
        </w:trPr>
        <w:tc>
          <w:tcPr>
            <w:tcW w:type="dxa" w:w="4896"/>
            <w:vAlign w:val="center"/>
            <w:tcMar>
              <w:top w:w="75" w:type="dxa"/>
              <w:bottom w:w="75" w:type="dxa"/>
              <w:left w:w="90" w:type="dxa"/>
              <w:right w:w="90" w:type="dxa"/>
            </w:tcMar>
            <w:shd w:fill="EAF0F5"/>
          </w:tcPr>
          <w:p>
            <w:pPr>
              <w:spacing w:after="0" w:line="240" w:lineRule="auto"/>
            </w:pPr>
            <w:r>
              <w:rPr>
                <w:b/>
                <w:sz w:val="21"/>
              </w:rPr>
              <w:t>Method</w:t>
            </w:r>
          </w:p>
        </w:tc>
        <w:tc>
          <w:tcPr>
            <w:tcW w:type="dxa" w:w="2232"/>
            <w:vAlign w:val="center"/>
            <w:tcMar>
              <w:top w:w="75" w:type="dxa"/>
              <w:bottom w:w="75" w:type="dxa"/>
              <w:left w:w="90" w:type="dxa"/>
              <w:right w:w="90" w:type="dxa"/>
            </w:tcMar>
            <w:shd w:fill="EAF0F5"/>
          </w:tcPr>
          <w:p>
            <w:pPr>
              <w:spacing w:after="0" w:line="240" w:lineRule="auto"/>
            </w:pPr>
            <w:r>
              <w:rPr>
                <w:b/>
                <w:sz w:val="21"/>
              </w:rPr>
              <w:t>Correct of 220, template held out</w:t>
            </w:r>
          </w:p>
        </w:tc>
        <w:tc>
          <w:tcPr>
            <w:tcW w:type="dxa" w:w="2232"/>
            <w:vAlign w:val="center"/>
            <w:tcMar>
              <w:top w:w="75" w:type="dxa"/>
              <w:bottom w:w="75" w:type="dxa"/>
              <w:left w:w="90" w:type="dxa"/>
              <w:right w:w="90" w:type="dxa"/>
            </w:tcMar>
            <w:shd w:fill="EAF0F5"/>
          </w:tcPr>
          <w:p>
            <w:pPr>
              <w:spacing w:after="0" w:line="240" w:lineRule="auto"/>
            </w:pPr>
            <w:r>
              <w:rPr>
                <w:b/>
                <w:sz w:val="21"/>
              </w:rPr>
              <w:t>Correct of 220, scenario held out</w:t>
            </w:r>
          </w:p>
        </w:tc>
      </w:tr>
      <w:tr>
        <w:trPr>
          <w:cantSplit/>
        </w:trPr>
        <w:tc>
          <w:tcPr>
            <w:tcW w:type="dxa" w:w="4896"/>
            <w:vAlign w:val="center"/>
            <w:tcMar>
              <w:top w:w="75" w:type="dxa"/>
              <w:bottom w:w="75" w:type="dxa"/>
              <w:left w:w="90" w:type="dxa"/>
              <w:right w:w="90" w:type="dxa"/>
            </w:tcMar>
          </w:tcPr>
          <w:p>
            <w:pPr>
              <w:spacing w:after="0" w:line="240" w:lineRule="auto"/>
            </w:pPr>
            <w:r>
              <w:rPr>
                <w:sz w:val="21"/>
              </w:rPr>
              <w:t>Parser category only</w:t>
            </w:r>
          </w:p>
        </w:tc>
        <w:tc>
          <w:tcPr>
            <w:tcW w:type="dxa" w:w="2232"/>
            <w:vAlign w:val="center"/>
            <w:tcMar>
              <w:top w:w="75" w:type="dxa"/>
              <w:bottom w:w="75" w:type="dxa"/>
              <w:left w:w="90" w:type="dxa"/>
              <w:right w:w="90" w:type="dxa"/>
            </w:tcMar>
          </w:tcPr>
          <w:p>
            <w:pPr>
              <w:spacing w:after="0" w:line="240" w:lineRule="auto"/>
              <w:jc w:val="center"/>
            </w:pPr>
            <w:r>
              <w:rPr>
                <w:sz w:val="21"/>
              </w:rPr>
              <w:t>90</w:t>
            </w:r>
          </w:p>
        </w:tc>
        <w:tc>
          <w:tcPr>
            <w:tcW w:type="dxa" w:w="2232"/>
            <w:vAlign w:val="center"/>
            <w:tcMar>
              <w:top w:w="75" w:type="dxa"/>
              <w:bottom w:w="75" w:type="dxa"/>
              <w:left w:w="90" w:type="dxa"/>
              <w:right w:w="90" w:type="dxa"/>
            </w:tcMar>
          </w:tcPr>
          <w:p>
            <w:pPr>
              <w:spacing w:after="0" w:line="240" w:lineRule="auto"/>
              <w:jc w:val="center"/>
            </w:pPr>
            <w:r>
              <w:rPr>
                <w:sz w:val="21"/>
              </w:rPr>
              <w:t>90</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without the knowledge graph</w:t>
            </w:r>
          </w:p>
        </w:tc>
        <w:tc>
          <w:tcPr>
            <w:tcW w:type="dxa" w:w="2232"/>
            <w:vAlign w:val="center"/>
            <w:tcMar>
              <w:top w:w="75" w:type="dxa"/>
              <w:bottom w:w="75" w:type="dxa"/>
              <w:left w:w="90" w:type="dxa"/>
              <w:right w:w="90" w:type="dxa"/>
            </w:tcMar>
          </w:tcPr>
          <w:p>
            <w:pPr>
              <w:spacing w:after="0" w:line="240" w:lineRule="auto"/>
              <w:jc w:val="center"/>
            </w:pPr>
            <w:r>
              <w:rPr>
                <w:sz w:val="21"/>
              </w:rPr>
              <w:t>105</w:t>
            </w:r>
          </w:p>
        </w:tc>
        <w:tc>
          <w:tcPr>
            <w:tcW w:type="dxa" w:w="2232"/>
            <w:vAlign w:val="center"/>
            <w:tcMar>
              <w:top w:w="75" w:type="dxa"/>
              <w:bottom w:w="75" w:type="dxa"/>
              <w:left w:w="90" w:type="dxa"/>
              <w:right w:w="90" w:type="dxa"/>
            </w:tcMar>
          </w:tcPr>
          <w:p>
            <w:pPr>
              <w:spacing w:after="0" w:line="240" w:lineRule="auto"/>
              <w:jc w:val="center"/>
            </w:pPr>
            <w:r>
              <w:rPr>
                <w:sz w:val="21"/>
              </w:rPr>
              <w:t>105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w:t>
            </w:r>
          </w:p>
        </w:tc>
        <w:tc>
          <w:tcPr>
            <w:tcW w:type="dxa" w:w="2232"/>
            <w:vAlign w:val="center"/>
            <w:tcMar>
              <w:top w:w="75" w:type="dxa"/>
              <w:bottom w:w="75" w:type="dxa"/>
              <w:left w:w="90" w:type="dxa"/>
              <w:right w:w="90" w:type="dxa"/>
            </w:tcMar>
          </w:tcPr>
          <w:p>
            <w:pPr>
              <w:spacing w:after="0" w:line="240" w:lineRule="auto"/>
              <w:jc w:val="center"/>
            </w:pPr>
            <w:r>
              <w:rPr>
                <w:sz w:val="21"/>
              </w:rPr>
              <w:t>183</w:t>
            </w:r>
          </w:p>
        </w:tc>
        <w:tc>
          <w:tcPr>
            <w:tcW w:type="dxa" w:w="2232"/>
            <w:vAlign w:val="center"/>
            <w:tcMar>
              <w:top w:w="75" w:type="dxa"/>
              <w:bottom w:w="75" w:type="dxa"/>
              <w:left w:w="90" w:type="dxa"/>
              <w:right w:w="90" w:type="dxa"/>
            </w:tcMar>
          </w:tcPr>
          <w:p>
            <w:pPr>
              <w:spacing w:after="0" w:line="240" w:lineRule="auto"/>
              <w:jc w:val="center"/>
            </w:pPr>
            <w:r>
              <w:rPr>
                <w:sz w:val="21"/>
              </w:rPr>
              <w:t>183</w:t>
            </w:r>
          </w:p>
        </w:tc>
      </w:tr>
      <w:tr>
        <w:trPr>
          <w:cantSplit/>
        </w:trPr>
        <w:tc>
          <w:tcPr>
            <w:tcW w:type="dxa" w:w="4896"/>
            <w:vAlign w:val="center"/>
            <w:tcMar>
              <w:top w:w="75" w:type="dxa"/>
              <w:bottom w:w="75" w:type="dxa"/>
              <w:left w:w="90" w:type="dxa"/>
              <w:right w:w="90" w:type="dxa"/>
            </w:tcMar>
          </w:tcPr>
          <w:p>
            <w:pPr>
              <w:spacing w:after="0" w:line="240" w:lineRule="auto"/>
            </w:pPr>
            <w:r>
              <w:rPr>
                <w:sz w:val="21"/>
              </w:rPr>
              <w:t>Decision tree only</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191</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and heuristics without the knowledge graph, then tree</w:t>
            </w:r>
          </w:p>
        </w:tc>
        <w:tc>
          <w:tcPr>
            <w:tcW w:type="dxa" w:w="2232"/>
            <w:vAlign w:val="center"/>
            <w:tcMar>
              <w:top w:w="75" w:type="dxa"/>
              <w:bottom w:w="75" w:type="dxa"/>
              <w:left w:w="90" w:type="dxa"/>
              <w:right w:w="90" w:type="dxa"/>
            </w:tcMar>
          </w:tcPr>
          <w:p>
            <w:pPr>
              <w:spacing w:after="0" w:line="240" w:lineRule="auto"/>
              <w:jc w:val="center"/>
            </w:pPr>
            <w:r>
              <w:rPr>
                <w:sz w:val="21"/>
              </w:rPr>
              <w:t>205</w:t>
            </w:r>
          </w:p>
        </w:tc>
        <w:tc>
          <w:tcPr>
            <w:tcW w:type="dxa" w:w="2232"/>
            <w:vAlign w:val="center"/>
            <w:tcMar>
              <w:top w:w="75" w:type="dxa"/>
              <w:bottom w:w="75" w:type="dxa"/>
              <w:left w:w="90" w:type="dxa"/>
              <w:right w:w="90" w:type="dxa"/>
            </w:tcMar>
          </w:tcPr>
          <w:p>
            <w:pPr>
              <w:spacing w:after="0" w:line="240" w:lineRule="auto"/>
              <w:jc w:val="center"/>
            </w:pPr>
            <w:r>
              <w:rPr>
                <w:sz w:val="21"/>
              </w:rPr>
              <w:t>205</w:t>
            </w:r>
          </w:p>
        </w:tc>
      </w:tr>
      <w:tr>
        <w:trPr>
          <w:cantSplit/>
        </w:trPr>
        <w:tc>
          <w:tcPr>
            <w:tcW w:type="dxa" w:w="4896"/>
            <w:vAlign w:val="center"/>
            <w:tcMar>
              <w:top w:w="75" w:type="dxa"/>
              <w:bottom w:w="75" w:type="dxa"/>
              <w:left w:w="90" w:type="dxa"/>
              <w:right w:w="90" w:type="dxa"/>
            </w:tcMar>
          </w:tcPr>
          <w:p>
            <w:pPr>
              <w:spacing w:after="0" w:line="240" w:lineRule="auto"/>
            </w:pPr>
            <w:r>
              <w:rPr>
                <w:sz w:val="21"/>
              </w:rPr>
              <w:t>Rules, knowledge graph and heuristics, then tree</w:t>
            </w:r>
          </w:p>
        </w:tc>
        <w:tc>
          <w:tcPr>
            <w:tcW w:type="dxa" w:w="2232"/>
            <w:vAlign w:val="center"/>
            <w:tcMar>
              <w:top w:w="75" w:type="dxa"/>
              <w:bottom w:w="75" w:type="dxa"/>
              <w:left w:w="90" w:type="dxa"/>
              <w:right w:w="90" w:type="dxa"/>
            </w:tcMar>
          </w:tcPr>
          <w:p>
            <w:pPr>
              <w:spacing w:after="0" w:line="240" w:lineRule="auto"/>
              <w:jc w:val="center"/>
            </w:pPr>
            <w:r>
              <w:rPr>
                <w:sz w:val="21"/>
              </w:rPr>
              <w:t>220</w:t>
            </w:r>
          </w:p>
        </w:tc>
        <w:tc>
          <w:tcPr>
            <w:tcW w:type="dxa" w:w="2232"/>
            <w:vAlign w:val="center"/>
            <w:tcMar>
              <w:top w:w="75" w:type="dxa"/>
              <w:bottom w:w="75" w:type="dxa"/>
              <w:left w:w="90" w:type="dxa"/>
              <w:right w:w="90" w:type="dxa"/>
            </w:tcMar>
          </w:tcPr>
          <w:p>
            <w:pPr>
              <w:spacing w:after="0" w:line="240" w:lineRule="auto"/>
              <w:jc w:val="center"/>
            </w:pPr>
            <w:r>
              <w:rPr>
                <w:sz w:val="21"/>
              </w:rPr>
              <w:t>220</w:t>
            </w:r>
          </w:p>
        </w:tc>
      </w:tr>
    </w:tbl>
    <w:p>
      <w:pPr>
        <w:spacing w:after="40"/>
      </w:pPr>
    </w:p>
    <w:p>
      <w:pPr/>
      <w:r>
        <w:t>Rules, knowledge and heuristics answer 183 cases and are right in each; the other 37 stay unanswered and are supplied by the tree. Without the knowledge graph the combination falls to 205. The tree alone depends on having seen the scenario: 191 of 220 when it has not. On the 30 difficult cases the combination is right in all, the tree alone in 15; the 25 version cases among them are decided by one heuristic that was written after these cases had been seen.</w:t>
      </w:r>
    </w:p>
    <w:p>
      <w:pPr/>
      <w:r>
        <w:t>The last row is the combination as the evaluation command forms it. The product itself can decline: replaying its own planning on the same saved cases gives 215 of 220, because for five cases it asks for the failure to be run again instead of naming a cause. These are the same five as for the earlier candidate in Section 5.4, and 0.8.0rc5 agrees with that candidate in all 250 cases.</w:t>
      </w:r>
    </w:p>
    <w:p>
      <w:pPr/>
      <w:r>
        <w:t>All of this is development data. Rules, knowledge, heuristics and the tree's features were written with these scenarios in view; a held-out fold isolates only what that fold's tree has not seen.</w:t>
      </w:r>
    </w:p>
    <w:p>
      <w:pPr>
        <w:pStyle w:val="Heading2"/>
      </w:pPr>
      <w:r>
        <w:t>A2 real project advice</w:t>
      </w:r>
    </w:p>
    <w:p>
      <w:pPr/>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pPr/>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pPr/>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pPr/>
      <w:r>
        <w:t xml:space="preserve">The three local models are Qwen3.6-35B-A3B in a 6 bit MLX conversion [11], Qwen3.8-27B in a 4 bit MLX conversion [12] and Gemma 4 26B A4B, instruction tuned and quantisation aware trained, in a 4 bit MLX conversion [13]. The tables call them Qwen3.6, Qwen3.8 and Gemma. Section 5.5 uses the same three builds. The local Gemma chat template differs from the model-card copy; archived file and template hashes identify the evaluated copy. The cloud alias and its limitations are described separately in Section 5.6.</w:t>
      </w:r>
    </w:p>
    <w:p>
      <w:pPr/>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rPr>
          <w:cantSplit/>
        </w:trP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pPr/>
      <w:r>
        <w:t>Three of FixFirst's eight matching causes were marked possible or uncertain; five were unhedged. The result package's Macro-F1 values (0.827, 0.798, 0.317 and 0.813, in the table order) cover the eleven fault projects only. Including the healthy project changes Qwen3.6 to 0.800, so this comparison is sensitive to that denominator.</w:t>
      </w:r>
    </w:p>
    <w:p>
      <w:pPr/>
      <w:r>
        <w:t>Advice rating agreement on available model answers was 29/31, with kappa 0.904. The first scorer's rows were publicly posted before the second scorer's sheets were returned. Independence is declared by the scorers but cannot be demonstrated from those records.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pPr/>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rPr>
          <w:cantSplit/>
        </w:trP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rPr>
          <w:cantSplit/>
        </w:trP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pPr/>
      <w:r>
        <w:t xml:space="preserve">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The candidate </w:t>
      </w:r>
      <w:r>
        <w:rPr>
          <w:rFonts w:ascii="Liberation Mono" w:hAnsi="Liberation Mono"/>
          <w:sz w:val="20"/>
        </w:rPr>
        <w:t>ff92446</w:t>
      </w:r>
      <w:r>
        <w:t xml:space="preserve"> used the 44 feature tree. On the same saved cases, the rc5 product returns the same 215 and 30 category answers (Section 5.2); its conservative abstentions remain counted as wrong.</w:t>
      </w:r>
    </w:p>
    <w:p>
      <w:pPr>
        <w:pStyle w:val="Heading2"/>
      </w:pPr>
      <w:r>
        <w:t>B7 executed agent repair</w:t>
      </w:r>
    </w:p>
    <w:p>
      <w:pPr/>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pPr/>
      <w:r>
        <w:t>The task card had planned real projects. An earlier comparison on two real projects, 78 runs over three models and three arms followed by six repeat runs, ended with two successes and could not show a difference: one project is an application logic defect outside the product's scope, the other states its cause in the error text, and the run conditions of that time cut replies short. The constructed, layered tasks and the revised run conditions answer those three points. The 84 runs are kept as a development record and are not combined with the result below.</w:t>
      </w:r>
    </w:p>
    <w:p>
      <w:pPr/>
      <w:r>
        <w:t xml:space="preserve">The 78-run batch used product and runner </w:t>
      </w:r>
      <w:r>
        <w:rPr>
          <w:rFonts w:ascii="Liberation Mono" w:hAnsi="Liberation Mono"/>
          <w:sz w:val="20"/>
        </w:rPr>
        <w:t>804cc3c455061517cbc5edb21a9fe4b66626b453</w:t>
      </w:r>
      <w:r>
        <w:t xml:space="preserve"> and had one strict success. The six-run follow-up used </w:t>
      </w:r>
      <w:r>
        <w:rPr>
          <w:rFonts w:ascii="Liberation Mono" w:hAnsi="Liberation Mono"/>
          <w:sz w:val="20"/>
        </w:rPr>
        <w:t>7c9a7fb54c35e91f7c0d7ec977afc1676fdca229</w:t>
      </w:r>
      <w:r>
        <w:t xml:space="preserve"> and had one strict success in the Django facts arm, without calling FixFirst. Nine separate smoke runs are excluded from the 84. Their summary is recorded in </w:t>
      </w:r>
      <w:r>
        <w:rPr>
          <w:rFonts w:ascii="Liberation Mono" w:hAnsi="Liberation Mono"/>
          <w:sz w:val="20"/>
        </w:rPr>
        <w:t>experiments/agent_baseline/a2-development-20261004/RESULTS.md</w:t>
      </w:r>
      <w:r>
        <w:t>.</w:t>
      </w:r>
    </w:p>
    <w:p>
      <w:pPr/>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pPr/>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cantSplit/>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rPr>
          <w:cantSplit/>
        </w:trP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rPr>
          <w:cantSplit/>
        </w:trP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pPr/>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pPr/>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pPr/>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cantSplit/>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rPr>
          <w:cantSplit/>
        </w:trP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rPr>
          <w:cantSplit/>
        </w:trP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pPr/>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pPr/>
      <w:r>
        <w:t>Controls are separate. Both Qwen models score 100% in both arms on E and F. Gemma scores 80% in both arms on E, and 100% versus 80% on F; the F decline comes from two early endings. No benefit outside the intended scope is claimed.</w:t>
      </w:r>
    </w:p>
    <w:p>
      <w:pPr/>
      <w:r>
        <w:t>The batch ran once without infrastructure interruption, retry or loss. Independent recomputation matched the saved analysis, and archived responses were matched to service records. This supports the integrity of the recorded comparison. A separately registered cloud comparison follows. All local and cloud agent results belong to the rc2 freeze; Section 4.3 describes the later compatibility checks.</w:t>
      </w:r>
    </w:p>
    <w:p>
      <w:pPr>
        <w:pStyle w:val="Heading2"/>
      </w:pPr>
      <w:r>
        <w:t>DeepSeek cloud comparison</w:t>
      </w:r>
    </w:p>
    <w:p>
      <w:pPr/>
      <w:r>
        <w:t xml:space="preserve">The registered cloud extension used DeepSeek V4.1 Flash through the deepseek-flash API alias on 9 October 2026 [14]. It retained the frozen product and runner, the same 22 task pack, H5 rules and task descriptions, and the 30 turn, 900 second and 32,768 output token limits. Each arm ran each task three times, making 132 runs. The two arms of each pair ran next to each other, with 33 baseline first and 33 MCP first pairs. This result is reported separately from the local models, which used five repetitions.</w:t>
      </w:r>
    </w:p>
    <w:p>
      <w:pPr/>
      <w:r>
        <w:t>Both arms repaired 54 of 54 A to D scope runs and 12 of 12 control runs. All three scoring readings agree. The baseline reached the observed ceiling, so this task pack measured no repair rate gain; it does not establish that FixFirst cannot help a strong model on other tasks. All 132 runs finished normally, with no interruption, retry, loss, timeout or protected edit.</w:t>
      </w:r>
    </w:p>
    <w:p>
      <w:pPr/>
      <w:r>
        <w:t>All eighteen scope tasks meet the registered efficiency requirement of at least two successful runs out of three in each arm. As in the local experiment, each task supplies the ratio of its successful run medians, and the table takes their geometric mean. The intervals are the registered paired task bootstrap intervals.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Measure</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MCP to baseline ratio</w:t>
            </w:r>
          </w:p>
        </w:tc>
        <w:tc>
          <w:tcPr>
            <w:tcW w:type="dxa" w:w="4752"/>
            <w:vAlign w:val="center"/>
            <w:tcMar>
              <w:top w:w="75" w:type="dxa"/>
              <w:bottom w:w="75" w:type="dxa"/>
              <w:left w:w="90" w:type="dxa"/>
              <w:right w:w="90" w:type="dxa"/>
            </w:tcMar>
            <w:shd w:fill="EAF0F5"/>
          </w:tcPr>
          <w:p>
            <w:pPr>
              <w:spacing w:after="0" w:line="240" w:lineRule="auto"/>
              <w:jc w:val="center"/>
            </w:pPr>
            <w:r>
              <w:rPr>
                <w:b/>
                <w:sz w:val="21"/>
              </w:rPr>
              <w:t>95% interval</w:t>
            </w:r>
          </w:p>
        </w:tc>
      </w:tr>
      <w:tr>
        <w:trPr>
          <w:cantSplit/>
        </w:trPr>
        <w:tc>
          <w:tcPr>
            <w:tcW w:type="dxa" w:w="2232"/>
            <w:vAlign w:val="center"/>
            <w:tcMar>
              <w:top w:w="75" w:type="dxa"/>
              <w:bottom w:w="75" w:type="dxa"/>
              <w:left w:w="90" w:type="dxa"/>
              <w:right w:w="90" w:type="dxa"/>
            </w:tcMar>
          </w:tcPr>
          <w:p>
            <w:pPr>
              <w:spacing w:after="0" w:line="240" w:lineRule="auto"/>
            </w:pPr>
            <w:r>
              <w:rPr>
                <w:sz w:val="21"/>
              </w:rPr>
              <w:t>Turns</w:t>
            </w:r>
          </w:p>
        </w:tc>
        <w:tc>
          <w:tcPr>
            <w:tcW w:type="dxa" w:w="2376"/>
            <w:vAlign w:val="center"/>
            <w:tcMar>
              <w:top w:w="75" w:type="dxa"/>
              <w:bottom w:w="75" w:type="dxa"/>
              <w:left w:w="90" w:type="dxa"/>
              <w:right w:w="90" w:type="dxa"/>
            </w:tcMar>
          </w:tcPr>
          <w:p>
            <w:pPr>
              <w:spacing w:after="0" w:line="240" w:lineRule="auto"/>
              <w:jc w:val="center"/>
            </w:pPr>
            <w:r>
              <w:rPr>
                <w:sz w:val="21"/>
              </w:rPr>
              <w:t>0.82</w:t>
            </w:r>
          </w:p>
        </w:tc>
        <w:tc>
          <w:tcPr>
            <w:tcW w:type="dxa" w:w="4752"/>
            <w:vAlign w:val="center"/>
            <w:tcMar>
              <w:top w:w="75" w:type="dxa"/>
              <w:bottom w:w="75" w:type="dxa"/>
              <w:left w:w="90" w:type="dxa"/>
              <w:right w:w="90" w:type="dxa"/>
            </w:tcMar>
          </w:tcPr>
          <w:p>
            <w:pPr>
              <w:spacing w:after="0" w:line="240" w:lineRule="auto"/>
              <w:jc w:val="center"/>
            </w:pPr>
            <w:r>
              <w:rPr>
                <w:sz w:val="21"/>
              </w:rPr>
              <w:t>0.68 to 0.97</w:t>
            </w:r>
          </w:p>
        </w:tc>
      </w:tr>
      <w:tr>
        <w:trPr>
          <w:cantSplit/>
        </w:trPr>
        <w:tc>
          <w:tcPr>
            <w:tcW w:type="dxa" w:w="2232"/>
            <w:vAlign w:val="center"/>
            <w:tcMar>
              <w:top w:w="75" w:type="dxa"/>
              <w:bottom w:w="75" w:type="dxa"/>
              <w:left w:w="90" w:type="dxa"/>
              <w:right w:w="90" w:type="dxa"/>
            </w:tcMar>
          </w:tcPr>
          <w:p>
            <w:pPr>
              <w:spacing w:after="0" w:line="240" w:lineRule="auto"/>
            </w:pPr>
            <w:r>
              <w:rPr>
                <w:sz w:val="21"/>
              </w:rPr>
              <w:t>Time</w:t>
            </w:r>
          </w:p>
        </w:tc>
        <w:tc>
          <w:tcPr>
            <w:tcW w:type="dxa" w:w="2376"/>
            <w:vAlign w:val="center"/>
            <w:tcMar>
              <w:top w:w="75" w:type="dxa"/>
              <w:bottom w:w="75" w:type="dxa"/>
              <w:left w:w="90" w:type="dxa"/>
              <w:right w:w="90" w:type="dxa"/>
            </w:tcMar>
          </w:tcPr>
          <w:p>
            <w:pPr>
              <w:spacing w:after="0" w:line="240" w:lineRule="auto"/>
              <w:jc w:val="center"/>
            </w:pPr>
            <w:r>
              <w:rPr>
                <w:sz w:val="21"/>
              </w:rPr>
              <w:t>0.71</w:t>
            </w:r>
          </w:p>
        </w:tc>
        <w:tc>
          <w:tcPr>
            <w:tcW w:type="dxa" w:w="4752"/>
            <w:vAlign w:val="center"/>
            <w:tcMar>
              <w:top w:w="75" w:type="dxa"/>
              <w:bottom w:w="75" w:type="dxa"/>
              <w:left w:w="90" w:type="dxa"/>
              <w:right w:w="90" w:type="dxa"/>
            </w:tcMar>
          </w:tcPr>
          <w:p>
            <w:pPr>
              <w:spacing w:after="0" w:line="240" w:lineRule="auto"/>
              <w:jc w:val="center"/>
            </w:pPr>
            <w:r>
              <w:rPr>
                <w:sz w:val="21"/>
              </w:rPr>
              <w:t>0.53 to 0.92</w:t>
            </w:r>
          </w:p>
        </w:tc>
      </w:tr>
      <w:tr>
        <w:trPr>
          <w:cantSplit/>
        </w:trPr>
        <w:tc>
          <w:tcPr>
            <w:tcW w:type="dxa" w:w="2232"/>
            <w:vAlign w:val="center"/>
            <w:tcMar>
              <w:top w:w="75" w:type="dxa"/>
              <w:bottom w:w="75" w:type="dxa"/>
              <w:left w:w="90" w:type="dxa"/>
              <w:right w:w="90" w:type="dxa"/>
            </w:tcMar>
          </w:tcPr>
          <w:p>
            <w:pPr>
              <w:spacing w:after="0" w:line="240" w:lineRule="auto"/>
            </w:pPr>
            <w:r>
              <w:rPr>
                <w:sz w:val="21"/>
              </w:rPr>
              <w:t>Recorded tokens</w:t>
            </w:r>
          </w:p>
        </w:tc>
        <w:tc>
          <w:tcPr>
            <w:tcW w:type="dxa" w:w="2376"/>
            <w:vAlign w:val="center"/>
            <w:tcMar>
              <w:top w:w="75" w:type="dxa"/>
              <w:bottom w:w="75" w:type="dxa"/>
              <w:left w:w="90" w:type="dxa"/>
              <w:right w:w="90" w:type="dxa"/>
            </w:tcMar>
          </w:tcPr>
          <w:p>
            <w:pPr>
              <w:spacing w:after="0" w:line="240" w:lineRule="auto"/>
              <w:jc w:val="center"/>
            </w:pPr>
            <w:r>
              <w:rPr>
                <w:sz w:val="21"/>
              </w:rPr>
              <w:t>0.72</w:t>
            </w:r>
          </w:p>
        </w:tc>
        <w:tc>
          <w:tcPr>
            <w:tcW w:type="dxa" w:w="4752"/>
            <w:vAlign w:val="center"/>
            <w:tcMar>
              <w:top w:w="75" w:type="dxa"/>
              <w:bottom w:w="75" w:type="dxa"/>
              <w:left w:w="90" w:type="dxa"/>
              <w:right w:w="90" w:type="dxa"/>
            </w:tcMar>
          </w:tcPr>
          <w:p>
            <w:pPr>
              <w:spacing w:after="0" w:line="240" w:lineRule="auto"/>
              <w:jc w:val="center"/>
            </w:pPr>
            <w:r>
              <w:rPr>
                <w:sz w:val="21"/>
              </w:rPr>
              <w:t>0.50 to 0.99</w:t>
            </w:r>
          </w:p>
        </w:tc>
      </w:tr>
    </w:tbl>
    <w:p>
      <w:pPr>
        <w:spacing w:after="40"/>
      </w:pPr>
    </w:p>
    <w:p>
      <w:pPr/>
      <w:r>
        <w:t>The average reductions do not occur on every task. Time and tokens decrease on ten tasks and increase on eight; the task sign test for time has p = 0.81. Turns decrease on eight tasks, increase on four and remain equal on six. This supports an average magnitude improvement under the registered aggregation, not a claim that most tasks benefit.</w:t>
      </w:r>
    </w:p>
    <w:p>
      <w:pPr/>
      <w:r>
        <w:t>A post hoc inspection by the independent reviewer identified five tasks with large savings: ea4, eb3, ec4, ec5 and ed2. Their time ratio is 0.28 and token ratio 0.23. The remaining thirteen tasks have ratios of 1.01 and 1.10 respectively. This partition was selected after inspecting results and is descriptive, not a preregistered outcome. In the F code defect controls, six runs per arm were all repaired, but total agent time and total recorded tokens with MCP were 1.84 and 1.77 times baseline. These control totals use a different aggregation from the scope table and illustrate possible overhead where FixFirst does not supply a useful environment repair.</w:t>
      </w:r>
    </w:p>
    <w:p>
      <w:pPr/>
      <w:r>
        <w:t>The API conditions differ from the local service. A registered external adapter returns each reply unchanged and carries its reasoning content into later requests. Upstream requests specify thinking enabled, reasoning effort high, top_p 0.95 and max_tokens 32768; the runner's nominal medium effort maps to high, and temperature, top_k and seed are omitted upstream. Paired seed identifiers therefore identify neighbouring runs, not reproducible cloud sampling. The provider controls the model alias and prompt cache, which was not reset between runs. All 1,320 formal replies have one model name and one recorded system fingerprint. These are observations during this batch, not a frozen provider model.</w:t>
      </w:r>
    </w:p>
    <w:p>
      <w:pPr/>
      <w:r>
        <w:t>Across all 22 tasks, baseline and MCP used 176,051 and 51,732 reasoning tokens. Cached input was approximately 93% and 91% respectively. FixFirst call time is included in the MCP arm. Peak price usage accounting totalled CNY 4.73 for the formal batch and CNY 5.05 including probes; arm totals were CNY 3.13 and CNY 1.60. These are conservative accounting values, not the actual off peak bill. Recorded token ratios include cached input and reasoning and must not be described as cost ratios. Elapsed time applies to this cloud service period and is not compared with local model speed.</w:t>
      </w:r>
    </w:p>
    <w:p>
      <w:pPr/>
      <w:r>
        <w:t>Independent AI recomputation matched the registered analysis byte for byte. A separate record checker confirmed the 132 commands, 1,320 requests and replies, 14,321 archived files and settled ledger, with no record problems. Raw records and actual requests were retained. This extends the registered evidence with one cloud model and three repetitions per cell; constructed tasks and the small sample still limit generalisation to real repositories.</w:t>
      </w:r>
    </w:p>
    <w:p>
      <w:pPr>
        <w:pStyle w:val="Heading2"/>
      </w:pPr>
      <w:r>
        <w:t>Real code defects</w:t>
      </w:r>
    </w:p>
    <w:p>
      <w:pPr/>
      <w:r>
        <w:t>BugsInPy supplies real defects in project code, each with the commit that fixed it and the test that shows it. A defect is prepared as BugsInPy defines it; FixFirst checks the project before the fix and again after the fix is applied. Two things are judged: that no required step with an install, upgrade or pin command is given for a code defect, and that the issue for the failing test is open before the fix and resolved only after it. No language model is involved.</w:t>
      </w:r>
    </w:p>
    <w:p>
      <w:pPr/>
      <w:r>
        <w:rPr>
          <w:b/>
        </w:rPr>
        <w:t>The frozen 0.8.0rc2, default use.</w:t>
      </w:r>
      <w:r>
        <w:t xml:space="preserve"> For the 27 reproduced defects of tqdm, tornado and cookiecutter that the product had not been run on, no environment advice with a command was given in any. The second check failed in all 27, and mainly for a reason before diagnosis: in 24 the product's default pytest run never executed the failing test. tqdm's test files are not collected by pytest's default pattern, and tornado's collection stops on unrelated helper files. In the three cookiecutter defects the issue stayed open before the fix and was not marked resolved after it. Nothing was closed that had not been repaired.</w:t>
      </w:r>
    </w:p>
    <w:p>
      <w:pPr/>
      <w:r>
        <w:t>The registered exact-node matcher identified two of the 27 bug issues. A supplementary parameterised-node reading found three actual observed target failures, all in cookiecutter; the registered closure count remains zero. Eleven tornado default runs confidently pointed to an unrelated Cython example import. Not proposing an installation command therefore does not imply that the first advice was correct.</w:t>
      </w:r>
    </w:p>
    <w:p>
      <w:pPr/>
      <w:r>
        <w:rPr>
          <w:b/>
        </w:rPr>
        <w:t>Three held-out tests.</w:t>
      </w:r>
      <w:r>
        <w:t xml:space="preserve"> The three candidates that followed were each tested once on defects chosen by reproduction alone, sealed, and never run with the product before. "Tests named" means the product was given the test BugsInPy lists for the defect.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152"/>
        <w:gridCol w:w="2952"/>
        <w:gridCol w:w="2304"/>
        <w:gridCol w:w="2304"/>
      </w:tblGrid>
      <w:tr>
        <w:trPr>
          <w:tblHeader/>
          <w:cantSplit/>
        </w:trPr>
        <w:tc>
          <w:tcPr>
            <w:tcW w:type="dxa" w:w="648"/>
            <w:vAlign w:val="center"/>
            <w:tcMar>
              <w:top w:w="75" w:type="dxa"/>
              <w:bottom w:w="75" w:type="dxa"/>
              <w:left w:w="90" w:type="dxa"/>
              <w:right w:w="90" w:type="dxa"/>
            </w:tcMar>
            <w:shd w:fill="EAF0F5"/>
          </w:tcPr>
          <w:p>
            <w:pPr>
              <w:spacing w:after="0" w:line="240" w:lineRule="auto"/>
            </w:pPr>
            <w:r>
              <w:rPr>
                <w:b/>
                <w:sz w:val="21"/>
              </w:rPr>
              <w:t>Test</w:t>
            </w:r>
          </w:p>
        </w:tc>
        <w:tc>
          <w:tcPr>
            <w:tcW w:type="dxa" w:w="1152"/>
            <w:vAlign w:val="center"/>
            <w:tcMar>
              <w:top w:w="75" w:type="dxa"/>
              <w:bottom w:w="75" w:type="dxa"/>
              <w:left w:w="90" w:type="dxa"/>
              <w:right w:w="90" w:type="dxa"/>
            </w:tcMar>
            <w:shd w:fill="EAF0F5"/>
          </w:tcPr>
          <w:p>
            <w:pPr>
              <w:spacing w:after="0" w:line="240" w:lineRule="auto"/>
              <w:jc w:val="center"/>
            </w:pPr>
            <w:r>
              <w:rPr>
                <w:b/>
                <w:sz w:val="21"/>
              </w:rPr>
              <w:t>Version tested</w:t>
            </w:r>
          </w:p>
        </w:tc>
        <w:tc>
          <w:tcPr>
            <w:tcW w:type="dxa" w:w="2952"/>
            <w:vAlign w:val="center"/>
            <w:tcMar>
              <w:top w:w="75" w:type="dxa"/>
              <w:bottom w:w="75" w:type="dxa"/>
              <w:left w:w="90" w:type="dxa"/>
              <w:right w:w="90" w:type="dxa"/>
            </w:tcMar>
            <w:shd w:fill="EAF0F5"/>
          </w:tcPr>
          <w:p>
            <w:pPr>
              <w:spacing w:after="0" w:line="240" w:lineRule="auto"/>
              <w:jc w:val="center"/>
            </w:pPr>
            <w:r>
              <w:rPr>
                <w:b/>
                <w:sz w:val="21"/>
              </w:rPr>
              <w:t>Material</w:t>
            </w:r>
          </w:p>
        </w:tc>
        <w:tc>
          <w:tcPr>
            <w:tcW w:type="dxa" w:w="2304"/>
            <w:vAlign w:val="center"/>
            <w:tcMar>
              <w:top w:w="75" w:type="dxa"/>
              <w:bottom w:w="75" w:type="dxa"/>
              <w:left w:w="90" w:type="dxa"/>
              <w:right w:w="90" w:type="dxa"/>
            </w:tcMar>
            <w:shd w:fill="EAF0F5"/>
          </w:tcPr>
          <w:p>
            <w:pPr>
              <w:spacing w:after="0" w:line="240" w:lineRule="auto"/>
            </w:pPr>
            <w:r>
              <w:rPr>
                <w:b/>
                <w:sz w:val="21"/>
              </w:rPr>
              <w:t>rc2 default: seen / closed</w:t>
            </w:r>
          </w:p>
        </w:tc>
        <w:tc>
          <w:tcPr>
            <w:tcW w:type="dxa" w:w="2304"/>
            <w:vAlign w:val="center"/>
            <w:tcMar>
              <w:top w:w="75" w:type="dxa"/>
              <w:bottom w:w="75" w:type="dxa"/>
              <w:left w:w="90" w:type="dxa"/>
              <w:right w:w="90" w:type="dxa"/>
            </w:tcMar>
            <w:shd w:fill="EAF0F5"/>
          </w:tcPr>
          <w:p>
            <w:pPr>
              <w:spacing w:after="0" w:line="240" w:lineRule="auto"/>
            </w:pPr>
            <w:r>
              <w:rPr>
                <w:b/>
                <w:sz w:val="21"/>
              </w:rPr>
              <w:t>Tests named: seen / closed</w:t>
            </w:r>
          </w:p>
        </w:tc>
      </w:tr>
      <w:tr>
        <w:trPr>
          <w:cantSplit/>
        </w:trPr>
        <w:tc>
          <w:tcPr>
            <w:tcW w:type="dxa" w:w="648"/>
            <w:vAlign w:val="center"/>
            <w:tcMar>
              <w:top w:w="75" w:type="dxa"/>
              <w:bottom w:w="75" w:type="dxa"/>
              <w:left w:w="90" w:type="dxa"/>
              <w:right w:w="90" w:type="dxa"/>
            </w:tcMar>
          </w:tcPr>
          <w:p>
            <w:pPr>
              <w:spacing w:after="0" w:line="240" w:lineRule="auto"/>
            </w:pPr>
            <w:r>
              <w:rPr>
                <w:sz w:val="21"/>
              </w:rPr>
              <w:t>1</w:t>
            </w:r>
          </w:p>
        </w:tc>
        <w:tc>
          <w:tcPr>
            <w:tcW w:type="dxa" w:w="1152"/>
            <w:vAlign w:val="center"/>
            <w:tcMar>
              <w:top w:w="75" w:type="dxa"/>
              <w:bottom w:w="75" w:type="dxa"/>
              <w:left w:w="90" w:type="dxa"/>
              <w:right w:w="90" w:type="dxa"/>
            </w:tcMar>
          </w:tcPr>
          <w:p>
            <w:pPr>
              <w:spacing w:after="0" w:line="240" w:lineRule="auto"/>
              <w:jc w:val="center"/>
            </w:pPr>
            <w:r>
              <w:rPr>
                <w:sz w:val="21"/>
              </w:rPr>
              <w:t>0.8.0rc3</w:t>
            </w:r>
          </w:p>
        </w:tc>
        <w:tc>
          <w:tcPr>
            <w:tcW w:type="dxa" w:w="2952"/>
            <w:vAlign w:val="center"/>
            <w:tcMar>
              <w:top w:w="75" w:type="dxa"/>
              <w:bottom w:w="75" w:type="dxa"/>
              <w:left w:w="90" w:type="dxa"/>
              <w:right w:w="90" w:type="dxa"/>
            </w:tcMar>
          </w:tcPr>
          <w:p>
            <w:pPr>
              <w:spacing w:after="0" w:line="240" w:lineRule="auto"/>
            </w:pPr>
            <w:r>
              <w:rPr>
                <w:sz w:val="21"/>
              </w:rPr>
              <w:t>19 defects in 3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2 / 2</w:t>
            </w:r>
          </w:p>
        </w:tc>
        <w:tc>
          <w:tcPr>
            <w:tcW w:type="dxa" w:w="2304"/>
            <w:vAlign w:val="center"/>
            <w:tcMar>
              <w:top w:w="75" w:type="dxa"/>
              <w:bottom w:w="75" w:type="dxa"/>
              <w:left w:w="90" w:type="dxa"/>
              <w:right w:w="90" w:type="dxa"/>
            </w:tcMar>
          </w:tcPr>
          <w:p>
            <w:pPr>
              <w:spacing w:after="0" w:line="240" w:lineRule="auto"/>
              <w:jc w:val="center"/>
            </w:pPr>
            <w:r>
              <w:rPr>
                <w:sz w:val="21"/>
              </w:rPr>
              <w:t>10 / 9</w:t>
            </w:r>
          </w:p>
        </w:tc>
      </w:tr>
      <w:tr>
        <w:trPr>
          <w:cantSplit/>
        </w:trPr>
        <w:tc>
          <w:tcPr>
            <w:tcW w:type="dxa" w:w="648"/>
            <w:vAlign w:val="center"/>
            <w:tcMar>
              <w:top w:w="75" w:type="dxa"/>
              <w:bottom w:w="75" w:type="dxa"/>
              <w:left w:w="90" w:type="dxa"/>
              <w:right w:w="90" w:type="dxa"/>
            </w:tcMar>
          </w:tcPr>
          <w:p>
            <w:pPr>
              <w:spacing w:after="0" w:line="240" w:lineRule="auto"/>
            </w:pPr>
            <w:r>
              <w:rPr>
                <w:sz w:val="21"/>
              </w:rPr>
              <w:t>2</w:t>
            </w:r>
          </w:p>
        </w:tc>
        <w:tc>
          <w:tcPr>
            <w:tcW w:type="dxa" w:w="1152"/>
            <w:vAlign w:val="center"/>
            <w:tcMar>
              <w:top w:w="75" w:type="dxa"/>
              <w:bottom w:w="75" w:type="dxa"/>
              <w:left w:w="90" w:type="dxa"/>
              <w:right w:w="90" w:type="dxa"/>
            </w:tcMar>
          </w:tcPr>
          <w:p>
            <w:pPr>
              <w:spacing w:after="0" w:line="240" w:lineRule="auto"/>
              <w:jc w:val="center"/>
            </w:pPr>
            <w:r>
              <w:rPr>
                <w:sz w:val="21"/>
              </w:rPr>
              <w:t>0.8.0rc4</w:t>
            </w:r>
          </w:p>
        </w:tc>
        <w:tc>
          <w:tcPr>
            <w:tcW w:type="dxa" w:w="2952"/>
            <w:vAlign w:val="center"/>
            <w:tcMar>
              <w:top w:w="75" w:type="dxa"/>
              <w:bottom w:w="75" w:type="dxa"/>
              <w:left w:w="90" w:type="dxa"/>
              <w:right w:w="90" w:type="dxa"/>
            </w:tcMar>
          </w:tcPr>
          <w:p>
            <w:pPr>
              <w:spacing w:after="0" w:line="240" w:lineRule="auto"/>
            </w:pPr>
            <w:r>
              <w:rPr>
                <w:sz w:val="21"/>
              </w:rPr>
              <w:t>28 defects in 6 projects not used before</w:t>
            </w:r>
          </w:p>
        </w:tc>
        <w:tc>
          <w:tcPr>
            <w:tcW w:type="dxa" w:w="2304"/>
            <w:vAlign w:val="center"/>
            <w:tcMar>
              <w:top w:w="75" w:type="dxa"/>
              <w:bottom w:w="75" w:type="dxa"/>
              <w:left w:w="90" w:type="dxa"/>
              <w:right w:w="90" w:type="dxa"/>
            </w:tcMar>
          </w:tcPr>
          <w:p>
            <w:pPr>
              <w:spacing w:after="0" w:line="240" w:lineRule="auto"/>
              <w:jc w:val="center"/>
            </w:pPr>
            <w:r>
              <w:rPr>
                <w:sz w:val="21"/>
              </w:rPr>
              <w:t>5 / 3</w:t>
            </w:r>
          </w:p>
        </w:tc>
        <w:tc>
          <w:tcPr>
            <w:tcW w:type="dxa" w:w="2304"/>
            <w:vAlign w:val="center"/>
            <w:tcMar>
              <w:top w:w="75" w:type="dxa"/>
              <w:bottom w:w="75" w:type="dxa"/>
              <w:left w:w="90" w:type="dxa"/>
              <w:right w:w="90" w:type="dxa"/>
            </w:tcMar>
          </w:tcPr>
          <w:p>
            <w:pPr>
              <w:spacing w:after="0" w:line="240" w:lineRule="auto"/>
              <w:jc w:val="center"/>
            </w:pPr>
            <w:r>
              <w:rPr>
                <w:sz w:val="21"/>
              </w:rPr>
              <w:t>27 / 21</w:t>
            </w:r>
          </w:p>
        </w:tc>
      </w:tr>
      <w:tr>
        <w:trPr>
          <w:cantSplit/>
        </w:trPr>
        <w:tc>
          <w:tcPr>
            <w:tcW w:type="dxa" w:w="648"/>
            <w:vAlign w:val="center"/>
            <w:tcMar>
              <w:top w:w="75" w:type="dxa"/>
              <w:bottom w:w="75" w:type="dxa"/>
              <w:left w:w="90" w:type="dxa"/>
              <w:right w:w="90" w:type="dxa"/>
            </w:tcMar>
          </w:tcPr>
          <w:p>
            <w:pPr>
              <w:spacing w:after="0" w:line="240" w:lineRule="auto"/>
            </w:pPr>
            <w:r>
              <w:rPr>
                <w:sz w:val="21"/>
              </w:rPr>
              <w:t>3</w:t>
            </w:r>
          </w:p>
        </w:tc>
        <w:tc>
          <w:tcPr>
            <w:tcW w:type="dxa" w:w="1152"/>
            <w:vAlign w:val="center"/>
            <w:tcMar>
              <w:top w:w="75" w:type="dxa"/>
              <w:bottom w:w="75" w:type="dxa"/>
              <w:left w:w="90" w:type="dxa"/>
              <w:right w:w="90" w:type="dxa"/>
            </w:tcMar>
          </w:tcPr>
          <w:p>
            <w:pPr>
              <w:spacing w:after="0" w:line="240" w:lineRule="auto"/>
              <w:jc w:val="center"/>
            </w:pPr>
            <w:r>
              <w:rPr>
                <w:sz w:val="21"/>
              </w:rPr>
              <w:t>0.8.0rc5</w:t>
            </w:r>
          </w:p>
        </w:tc>
        <w:tc>
          <w:tcPr>
            <w:tcW w:type="dxa" w:w="2952"/>
            <w:vAlign w:val="center"/>
            <w:tcMar>
              <w:top w:w="75" w:type="dxa"/>
              <w:bottom w:w="75" w:type="dxa"/>
              <w:left w:w="90" w:type="dxa"/>
              <w:right w:w="90" w:type="dxa"/>
            </w:tcMar>
          </w:tcPr>
          <w:p>
            <w:pPr>
              <w:spacing w:after="0" w:line="240" w:lineRule="auto"/>
            </w:pPr>
            <w:r>
              <w:rPr>
                <w:sz w:val="21"/>
              </w:rPr>
              <w:t>28 new defects in 7 projects used before</w:t>
            </w:r>
          </w:p>
        </w:tc>
        <w:tc>
          <w:tcPr>
            <w:tcW w:type="dxa" w:w="2304"/>
            <w:vAlign w:val="center"/>
            <w:tcMar>
              <w:top w:w="75" w:type="dxa"/>
              <w:bottom w:w="75" w:type="dxa"/>
              <w:left w:w="90" w:type="dxa"/>
              <w:right w:w="90" w:type="dxa"/>
            </w:tcMar>
          </w:tcPr>
          <w:p>
            <w:pPr>
              <w:spacing w:after="0" w:line="240" w:lineRule="auto"/>
              <w:jc w:val="center"/>
            </w:pPr>
            <w:r>
              <w:rPr>
                <w:sz w:val="21"/>
              </w:rPr>
              <w:t>10 / 4</w:t>
            </w:r>
          </w:p>
        </w:tc>
        <w:tc>
          <w:tcPr>
            <w:tcW w:type="dxa" w:w="2304"/>
            <w:vAlign w:val="center"/>
            <w:tcMar>
              <w:top w:w="75" w:type="dxa"/>
              <w:bottom w:w="75" w:type="dxa"/>
              <w:left w:w="90" w:type="dxa"/>
              <w:right w:w="90" w:type="dxa"/>
            </w:tcMar>
          </w:tcPr>
          <w:p>
            <w:pPr>
              <w:spacing w:after="0" w:line="240" w:lineRule="auto"/>
              <w:jc w:val="center"/>
            </w:pPr>
            <w:r>
              <w:rPr>
                <w:sz w:val="21"/>
              </w:rPr>
              <w:t>28 / 27</w:t>
            </w:r>
          </w:p>
        </w:tc>
      </w:tr>
    </w:tbl>
    <w:p>
      <w:pPr>
        <w:spacing w:after="40"/>
      </w:pPr>
    </w:p>
    <w:p>
      <w:pPr/>
      <w:r>
        <w:t>With the tests named, in all three tests no defect received environment advice with a command, no wrong cause was stated without the "unconfirmed" mark, and no issue was closed without the repair. The first step named a defect in project code or tests for 62 of the 75 defects, 18 of them marked unconfirmed; four received another cause, each marked unconfirmed; for nine the failure was not reached.</w:t>
      </w:r>
    </w:p>
    <w:p>
      <w:pPr/>
      <w:r>
        <w:t>Each test met something not known beforehand, and the next candidate removed it: a project whose test setup replaces the environment variables, and a pytest too old for an option the product passed (test 1); a project with its own pytest options, for which the product would not confirm a repair (test 2). The defects that are seen and still not closed in test 3 and in the reused material are fixes that also change a file the project counts as a test; the product then reports that the tests changed, which is its protection against passing by editing tests.</w:t>
      </w:r>
    </w:p>
    <w:p>
      <w:pPr/>
      <w:r>
        <w:t>These numbers must be read with the following conditions.</w:t>
      </w:r>
    </w:p>
    <w:p>
      <w:pPr>
        <w:ind w:left="202" w:hanging="202"/>
      </w:pPr>
      <w:r>
        <w:t>- The three rows are not a rising curve. Versions and material differ, and the third set contains no new project, so it could not meet a new kind of problem as the first two did.</w:t>
      </w:r>
    </w:p>
    <w:p>
      <w:pPr>
        <w:ind w:left="202" w:hanging="202"/>
      </w:pPr>
      <w:r>
        <w:t>- The default-use column is low partly for a reason of method. Each environment holds only the packages the defect's own test needs, and tests 2 and 3 ran without network access, so a default run often stops at a package another test imports. Default use in a complete development environment was not measured.</w:t>
      </w:r>
    </w:p>
    <w:p>
      <w:pPr>
        <w:ind w:left="202" w:hanging="202"/>
      </w:pPr>
      <w:r>
        <w:t>- All defects are code defects. With the tests named, no required environment-changing command was given, and the closure counts test repair recognition; they say nothing about the other four cause classes.</w:t>
      </w:r>
    </w:p>
    <w:p>
      <w:pPr/>
      <w:r>
        <w:t>The second set contains one Sanic defect that does not reproduce without network access. It remains in the denominator and counts as not passed under the registered rule. Its target node appears in the run record, but that does not establish that the intended defect was reproduced; the valid failure-observation count is 27, not 28.</w:t>
      </w:r>
    </w:p>
    <w:p>
      <w:pPr/>
      <w:r>
        <w:t>Used as development data, the 75 defects of phase two (including the separately marked PySnooper 2 development case) and the first two sets give, on 0.8.0rc5, 74 seen and 69 closed correctly with the tests named, and 25 and 8 in default use.</w:t>
      </w:r>
    </w:p>
    <w:p>
      <w:pPr/>
      <w:r>
        <w:t>Against the proposal, which asked for the check "repaired means verified" on at least eight real defects in at least four libraries: with the tests named it holds on held-out defects of two, five and seven projects. In default use on these repositories the product mostly does not reach the failing test.</w:t>
      </w:r>
    </w:p>
    <w:p>
      <w:pPr>
        <w:pStyle w:val="Heading2"/>
      </w:pPr>
      <w:r>
        <w:t>Next-step ordering and ablations</w:t>
      </w:r>
    </w:p>
    <w:p>
      <w:pPr/>
      <w:r>
        <w:t>Five generated projects with two or three faults each, some hidden behind others, were built before the first freeze together with the grading. A method picks one open issue; if a fault is behind it, that fault's reference repair is applied, otherwise the pick counts as a wrong attempt; this repeats until every required fault is repaired. The reference repair stands in for the method's own action, so the measure concerns the choice of problem only.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728"/>
        <w:gridCol w:w="1584"/>
        <w:gridCol w:w="1728"/>
      </w:tblGrid>
      <w:tr>
        <w:trPr>
          <w:tblHeader/>
          <w:cantSplit/>
        </w:trPr>
        <w:tc>
          <w:tcPr>
            <w:tcW w:type="dxa" w:w="4320"/>
            <w:vAlign w:val="center"/>
            <w:tcMar>
              <w:top w:w="75" w:type="dxa"/>
              <w:bottom w:w="75" w:type="dxa"/>
              <w:left w:w="90" w:type="dxa"/>
              <w:right w:w="90" w:type="dxa"/>
            </w:tcMar>
            <w:shd w:fill="EAF0F5"/>
          </w:tcPr>
          <w:p>
            <w:pPr>
              <w:keepNext/>
              <w:spacing w:after="0" w:line="240" w:lineRule="auto"/>
            </w:pPr>
            <w:r>
              <w:rPr>
                <w:b/>
                <w:sz w:val="21"/>
              </w:rPr>
              <w:t>Method</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First issue right</w:t>
            </w:r>
          </w:p>
        </w:tc>
        <w:tc>
          <w:tcPr>
            <w:tcW w:type="dxa" w:w="1584"/>
            <w:vAlign w:val="center"/>
            <w:tcMar>
              <w:top w:w="75" w:type="dxa"/>
              <w:bottom w:w="75" w:type="dxa"/>
              <w:left w:w="90" w:type="dxa"/>
              <w:right w:w="90" w:type="dxa"/>
            </w:tcMar>
            <w:shd w:fill="EAF0F5"/>
          </w:tcPr>
          <w:p>
            <w:pPr>
              <w:keepNext/>
              <w:spacing w:after="0" w:line="240" w:lineRule="auto"/>
              <w:jc w:val="center"/>
            </w:pPr>
            <w:r>
              <w:rPr>
                <w:b/>
                <w:sz w:val="21"/>
              </w:rPr>
              <w:t>Wrong attempts</w:t>
            </w:r>
          </w:p>
        </w:tc>
        <w:tc>
          <w:tcPr>
            <w:tcW w:type="dxa" w:w="1728"/>
            <w:vAlign w:val="center"/>
            <w:tcMar>
              <w:top w:w="75" w:type="dxa"/>
              <w:bottom w:w="75" w:type="dxa"/>
              <w:left w:w="90" w:type="dxa"/>
              <w:right w:w="90" w:type="dxa"/>
            </w:tcMar>
            <w:shd w:fill="EAF0F5"/>
          </w:tcPr>
          <w:p>
            <w:pPr>
              <w:keepNext/>
              <w:spacing w:after="0" w:line="240" w:lineRule="auto"/>
              <w:jc w:val="center"/>
            </w:pPr>
            <w:r>
              <w:rPr>
                <w:b/>
                <w:sz w:val="21"/>
              </w:rPr>
              <w:t>Goal reached</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Order of the messages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Fixed order of categories</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keepNext/>
              <w:spacing w:after="0" w:line="240" w:lineRule="auto"/>
            </w:pPr>
            <w:r>
              <w:rPr>
                <w:sz w:val="21"/>
              </w:rPr>
              <w:t>FixFirst with exact grouping</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c>
          <w:tcPr>
            <w:tcW w:type="dxa" w:w="1584"/>
            <w:vAlign w:val="center"/>
            <w:tcMar>
              <w:top w:w="75" w:type="dxa"/>
              <w:bottom w:w="75" w:type="dxa"/>
              <w:left w:w="90" w:type="dxa"/>
              <w:right w:w="90" w:type="dxa"/>
            </w:tcMar>
          </w:tcPr>
          <w:p>
            <w:pPr>
              <w:keepNext/>
              <w:spacing w:after="0" w:line="240" w:lineRule="auto"/>
              <w:jc w:val="center"/>
            </w:pPr>
            <w:r>
              <w:rPr>
                <w:sz w:val="21"/>
              </w:rPr>
              <w:t>0</w:t>
            </w:r>
          </w:p>
        </w:tc>
        <w:tc>
          <w:tcPr>
            <w:tcW w:type="dxa" w:w="1728"/>
            <w:vAlign w:val="center"/>
            <w:tcMar>
              <w:top w:w="75" w:type="dxa"/>
              <w:bottom w:w="75" w:type="dxa"/>
              <w:left w:w="90" w:type="dxa"/>
              <w:right w:w="90" w:type="dxa"/>
            </w:tcMar>
          </w:tcPr>
          <w:p>
            <w:pPr>
              <w:keepNext/>
              <w:spacing w:after="0" w:line="240" w:lineRule="auto"/>
              <w:jc w:val="center"/>
            </w:pPr>
            <w:r>
              <w:rPr>
                <w:sz w:val="21"/>
              </w:rPr>
              <w:t>5 of 5</w:t>
            </w:r>
          </w:p>
        </w:tc>
      </w:tr>
      <w:tr>
        <w:trPr>
          <w:cantSplit/>
        </w:trPr>
        <w:tc>
          <w:tcPr>
            <w:tcW w:type="dxa" w:w="4320"/>
            <w:vAlign w:val="center"/>
            <w:tcMar>
              <w:top w:w="75" w:type="dxa"/>
              <w:bottom w:w="75" w:type="dxa"/>
              <w:left w:w="90" w:type="dxa"/>
              <w:right w:w="90" w:type="dxa"/>
            </w:tcMar>
          </w:tcPr>
          <w:p>
            <w:pPr>
              <w:spacing w:after="0" w:line="240" w:lineRule="auto"/>
            </w:pPr>
            <w:r>
              <w:rPr>
                <w:sz w:val="21"/>
              </w:rPr>
              <w:t>FixFirst without grouping</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c>
          <w:tcPr>
            <w:tcW w:type="dxa" w:w="1584"/>
            <w:vAlign w:val="center"/>
            <w:tcMar>
              <w:top w:w="75" w:type="dxa"/>
              <w:bottom w:w="75" w:type="dxa"/>
              <w:left w:w="90" w:type="dxa"/>
              <w:right w:w="90" w:type="dxa"/>
            </w:tcMar>
          </w:tcPr>
          <w:p>
            <w:pPr>
              <w:spacing w:after="0" w:line="240" w:lineRule="auto"/>
              <w:jc w:val="center"/>
            </w:pPr>
            <w:r>
              <w:rPr>
                <w:sz w:val="21"/>
              </w:rPr>
              <w:t>0</w:t>
            </w:r>
          </w:p>
        </w:tc>
        <w:tc>
          <w:tcPr>
            <w:tcW w:type="dxa" w:w="1728"/>
            <w:vAlign w:val="center"/>
            <w:tcMar>
              <w:top w:w="75" w:type="dxa"/>
              <w:bottom w:w="75" w:type="dxa"/>
              <w:left w:w="90" w:type="dxa"/>
              <w:right w:w="90" w:type="dxa"/>
            </w:tcMar>
          </w:tcPr>
          <w:p>
            <w:pPr>
              <w:spacing w:after="0" w:line="240" w:lineRule="auto"/>
              <w:jc w:val="center"/>
            </w:pPr>
            <w:r>
              <w:rPr>
                <w:sz w:val="21"/>
              </w:rPr>
              <w:t>5 of 5</w:t>
            </w:r>
          </w:p>
        </w:tc>
      </w:tr>
    </w:tbl>
    <w:p>
      <w:pPr>
        <w:spacing w:after="40"/>
      </w:pPr>
    </w:p>
    <w:p>
      <w:pPr/>
      <w:r>
        <w:t>The suite cannot separate the methods, as a development check had shown before FixFirst was run on it: a collection error hides everything behind it, and no state has two visible problems of which one must come first. The cases were not changed to create a difference. The result is therefore not evidence for the ordering; it is the absence of a test that could show one.</w:t>
      </w:r>
    </w:p>
    <w:p>
      <w:pPr/>
      <w:r>
        <w:t>The action itself was judged apart, as written, against the repairs allowed for each fault. Of FixFirst's eleven first steps along these replays, seven are an allowed repair, four name no concrete change (twice an inspecting step for a private library name that had moved, twice the comparison of expected and actual values for a logic defect), and none is wrong. For one fault the judgement depends on reading "provide the value" as "provide a default"; read strictly the counts are five, four and two. One rater made these judgements.</w:t>
      </w:r>
    </w:p>
    <w:p>
      <w:pPr/>
      <w:r>
        <w:t>Not done: the playground project and the two-layer difficult cases named on the task card lack the fault definitions this replay needs; and the ablation without the display of evidence requires a user study arm, which does not exist.</w:t>
      </w:r>
    </w:p>
    <w:p>
      <w:pPr>
        <w:pStyle w:val="Heading2"/>
      </w:pPr>
      <w:r>
        <w:t>Message grouping</w:t>
      </w:r>
    </w:p>
    <w:p>
      <w:pPr/>
      <w:r>
        <w:t>The two controlled datasets were generated again with the present code. Exact matching and TF IDF both have precision and recall 1.0 on them (15 and 5 pairs), and every pair that belongs together has the same text twice.</w:t>
      </w:r>
    </w:p>
    <w:p>
      <w:pPr/>
      <w:r>
        <w:t>Both methods were then applied to every saved event stream: 593 sessions of the development datasets and 281 sessions of nine real projects from Section 5.7. They never group differently. On the real projects all 1,640 pairs that share a block have identical text.</w:t>
      </w:r>
    </w:p>
    <w:p>
      <w:pPr/>
      <w:r>
        <w:t>Because no natural pair exercises the similarity step, 394 pairs were constructed by rule from 207 saved messages, the rule and the set being fixed before either method was run on them: 70 that differ only in a number, a line number or a directory name and must be merged, and 324 in which one identifier is replaced and which must stay apart.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0"/>
        <w:gridCol w:w="1224"/>
        <w:gridCol w:w="2304"/>
        <w:gridCol w:w="2592"/>
      </w:tblGrid>
      <w:tr>
        <w:trPr>
          <w:tblHeader/>
          <w:cantSplit/>
        </w:trPr>
        <w:tc>
          <w:tcPr>
            <w:tcW w:type="dxa" w:w="2520"/>
            <w:vAlign w:val="center"/>
            <w:tcMar>
              <w:top w:w="75" w:type="dxa"/>
              <w:bottom w:w="75" w:type="dxa"/>
              <w:left w:w="90" w:type="dxa"/>
              <w:right w:w="90" w:type="dxa"/>
            </w:tcMar>
            <w:shd w:fill="EAF0F5"/>
          </w:tcPr>
          <w:p>
            <w:pPr>
              <w:spacing w:after="0" w:line="240" w:lineRule="auto"/>
            </w:pPr>
            <w:r>
              <w:rPr>
                <w:b/>
                <w:sz w:val="21"/>
              </w:rPr>
              <w:t>Change</w:t>
            </w:r>
          </w:p>
        </w:tc>
        <w:tc>
          <w:tcPr>
            <w:tcW w:type="dxa" w:w="720"/>
            <w:vAlign w:val="center"/>
            <w:tcMar>
              <w:top w:w="75" w:type="dxa"/>
              <w:bottom w:w="75" w:type="dxa"/>
              <w:left w:w="90" w:type="dxa"/>
              <w:right w:w="90" w:type="dxa"/>
            </w:tcMar>
            <w:shd w:fill="EAF0F5"/>
          </w:tcPr>
          <w:p>
            <w:pPr>
              <w:spacing w:after="0" w:line="240" w:lineRule="auto"/>
              <w:jc w:val="center"/>
            </w:pPr>
            <w:r>
              <w:rPr>
                <w:b/>
                <w:sz w:val="21"/>
              </w:rPr>
              <w:t>Pairs</w:t>
            </w:r>
          </w:p>
        </w:tc>
        <w:tc>
          <w:tcPr>
            <w:tcW w:type="dxa" w:w="1224"/>
            <w:vAlign w:val="center"/>
            <w:tcMar>
              <w:top w:w="75" w:type="dxa"/>
              <w:bottom w:w="75" w:type="dxa"/>
              <w:left w:w="90" w:type="dxa"/>
              <w:right w:w="90" w:type="dxa"/>
            </w:tcMar>
            <w:shd w:fill="EAF0F5"/>
          </w:tcPr>
          <w:p>
            <w:pPr>
              <w:spacing w:after="0" w:line="240" w:lineRule="auto"/>
              <w:jc w:val="center"/>
            </w:pPr>
            <w:r>
              <w:rPr>
                <w:b/>
                <w:sz w:val="21"/>
              </w:rPr>
              <w:t>Expected</w:t>
            </w:r>
          </w:p>
        </w:tc>
        <w:tc>
          <w:tcPr>
            <w:tcW w:type="dxa" w:w="2304"/>
            <w:vAlign w:val="center"/>
            <w:tcMar>
              <w:top w:w="75" w:type="dxa"/>
              <w:bottom w:w="75" w:type="dxa"/>
              <w:left w:w="90" w:type="dxa"/>
              <w:right w:w="90" w:type="dxa"/>
            </w:tcMar>
            <w:shd w:fill="EAF0F5"/>
          </w:tcPr>
          <w:p>
            <w:pPr>
              <w:spacing w:after="0" w:line="240" w:lineRule="auto"/>
            </w:pPr>
            <w:r>
              <w:rPr>
                <w:b/>
                <w:sz w:val="21"/>
              </w:rPr>
              <w:t>Merged by exact matching</w:t>
            </w:r>
          </w:p>
        </w:tc>
        <w:tc>
          <w:tcPr>
            <w:tcW w:type="dxa" w:w="2592"/>
            <w:vAlign w:val="center"/>
            <w:tcMar>
              <w:top w:w="75" w:type="dxa"/>
              <w:bottom w:w="75" w:type="dxa"/>
              <w:left w:w="90" w:type="dxa"/>
              <w:right w:w="90" w:type="dxa"/>
            </w:tcMar>
            <w:shd w:fill="EAF0F5"/>
          </w:tcPr>
          <w:p>
            <w:pPr>
              <w:spacing w:after="0" w:line="240" w:lineRule="auto"/>
              <w:jc w:val="center"/>
            </w:pPr>
            <w:r>
              <w:rPr>
                <w:b/>
                <w:sz w:val="21"/>
              </w:rPr>
              <w:t>Merged by TF IDF</w:t>
            </w:r>
          </w:p>
        </w:tc>
      </w:tr>
      <w:tr>
        <w:trPr>
          <w:cantSplit/>
        </w:trPr>
        <w:tc>
          <w:tcPr>
            <w:tcW w:type="dxa" w:w="2520"/>
            <w:vAlign w:val="center"/>
            <w:tcMar>
              <w:top w:w="75" w:type="dxa"/>
              <w:bottom w:w="75" w:type="dxa"/>
              <w:left w:w="90" w:type="dxa"/>
              <w:right w:w="90" w:type="dxa"/>
            </w:tcMar>
          </w:tcPr>
          <w:p>
            <w:pPr>
              <w:spacing w:after="0" w:line="240" w:lineRule="auto"/>
            </w:pPr>
            <w:r>
              <w:rPr>
                <w:sz w:val="21"/>
              </w:rPr>
              <w:t>One number</w:t>
            </w:r>
          </w:p>
        </w:tc>
        <w:tc>
          <w:tcPr>
            <w:tcW w:type="dxa" w:w="720"/>
            <w:vAlign w:val="center"/>
            <w:tcMar>
              <w:top w:w="75" w:type="dxa"/>
              <w:bottom w:w="75" w:type="dxa"/>
              <w:left w:w="90" w:type="dxa"/>
              <w:right w:w="90" w:type="dxa"/>
            </w:tcMar>
          </w:tcPr>
          <w:p>
            <w:pPr>
              <w:spacing w:after="0" w:line="240" w:lineRule="auto"/>
              <w:jc w:val="center"/>
            </w:pPr>
            <w:r>
              <w:rPr>
                <w:sz w:val="21"/>
              </w:rPr>
              <w:t>23</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23</w:t>
            </w:r>
          </w:p>
        </w:tc>
      </w:tr>
      <w:tr>
        <w:trPr>
          <w:cantSplit/>
        </w:trPr>
        <w:tc>
          <w:tcPr>
            <w:tcW w:type="dxa" w:w="2520"/>
            <w:vAlign w:val="center"/>
            <w:tcMar>
              <w:top w:w="75" w:type="dxa"/>
              <w:bottom w:w="75" w:type="dxa"/>
              <w:left w:w="90" w:type="dxa"/>
              <w:right w:w="90" w:type="dxa"/>
            </w:tcMar>
          </w:tcPr>
          <w:p>
            <w:pPr>
              <w:spacing w:after="0" w:line="240" w:lineRule="auto"/>
            </w:pPr>
            <w:r>
              <w:rPr>
                <w:sz w:val="21"/>
              </w:rPr>
              <w:t>One line number</w:t>
            </w:r>
          </w:p>
        </w:tc>
        <w:tc>
          <w:tcPr>
            <w:tcW w:type="dxa" w:w="720"/>
            <w:vAlign w:val="center"/>
            <w:tcMar>
              <w:top w:w="75" w:type="dxa"/>
              <w:bottom w:w="75" w:type="dxa"/>
              <w:left w:w="90" w:type="dxa"/>
              <w:right w:w="90" w:type="dxa"/>
            </w:tcMar>
          </w:tcPr>
          <w:p>
            <w:pPr>
              <w:spacing w:after="0" w:line="240" w:lineRule="auto"/>
              <w:jc w:val="center"/>
            </w:pPr>
            <w:r>
              <w:rPr>
                <w:sz w:val="21"/>
              </w:rPr>
              <w:t>10</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10</w:t>
            </w:r>
          </w:p>
        </w:tc>
      </w:tr>
      <w:tr>
        <w:trPr>
          <w:cantSplit/>
        </w:trPr>
        <w:tc>
          <w:tcPr>
            <w:tcW w:type="dxa" w:w="2520"/>
            <w:vAlign w:val="center"/>
            <w:tcMar>
              <w:top w:w="75" w:type="dxa"/>
              <w:bottom w:w="75" w:type="dxa"/>
              <w:left w:w="90" w:type="dxa"/>
              <w:right w:w="90" w:type="dxa"/>
            </w:tcMar>
          </w:tcPr>
          <w:p>
            <w:pPr>
              <w:spacing w:after="0" w:line="240" w:lineRule="auto"/>
            </w:pPr>
            <w:r>
              <w:rPr>
                <w:sz w:val="21"/>
              </w:rPr>
              <w:t>One directory name of a path</w:t>
            </w:r>
          </w:p>
        </w:tc>
        <w:tc>
          <w:tcPr>
            <w:tcW w:type="dxa" w:w="720"/>
            <w:vAlign w:val="center"/>
            <w:tcMar>
              <w:top w:w="75" w:type="dxa"/>
              <w:bottom w:w="75" w:type="dxa"/>
              <w:left w:w="90" w:type="dxa"/>
              <w:right w:w="90" w:type="dxa"/>
            </w:tcMar>
          </w:tcPr>
          <w:p>
            <w:pPr>
              <w:spacing w:after="0" w:line="240" w:lineRule="auto"/>
              <w:jc w:val="center"/>
            </w:pPr>
            <w:r>
              <w:rPr>
                <w:sz w:val="21"/>
              </w:rPr>
              <w:t>37</w:t>
            </w:r>
          </w:p>
        </w:tc>
        <w:tc>
          <w:tcPr>
            <w:tcW w:type="dxa" w:w="1224"/>
            <w:vAlign w:val="center"/>
            <w:tcMar>
              <w:top w:w="75" w:type="dxa"/>
              <w:bottom w:w="75" w:type="dxa"/>
              <w:left w:w="90" w:type="dxa"/>
              <w:right w:w="90" w:type="dxa"/>
            </w:tcMar>
          </w:tcPr>
          <w:p>
            <w:pPr>
              <w:spacing w:after="0" w:line="240" w:lineRule="auto"/>
              <w:jc w:val="center"/>
            </w:pPr>
            <w:r>
              <w:rPr>
                <w:sz w:val="21"/>
              </w:rPr>
              <w:t>merge</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36</w:t>
            </w:r>
          </w:p>
        </w:tc>
      </w:tr>
      <w:tr>
        <w:trPr>
          <w:cantSplit/>
        </w:trPr>
        <w:tc>
          <w:tcPr>
            <w:tcW w:type="dxa" w:w="2520"/>
            <w:vAlign w:val="center"/>
            <w:tcMar>
              <w:top w:w="75" w:type="dxa"/>
              <w:bottom w:w="75" w:type="dxa"/>
              <w:left w:w="90" w:type="dxa"/>
              <w:right w:w="90" w:type="dxa"/>
            </w:tcMar>
          </w:tcPr>
          <w:p>
            <w:pPr>
              <w:spacing w:after="0" w:line="240" w:lineRule="auto"/>
            </w:pPr>
            <w:r>
              <w:rPr>
                <w:sz w:val="21"/>
              </w:rPr>
              <w:t>Identifier with a near spelling</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144</w:t>
            </w:r>
          </w:p>
        </w:tc>
      </w:tr>
      <w:tr>
        <w:trPr>
          <w:cantSplit/>
        </w:trPr>
        <w:tc>
          <w:tcPr>
            <w:tcW w:type="dxa" w:w="2520"/>
            <w:vAlign w:val="center"/>
            <w:tcMar>
              <w:top w:w="75" w:type="dxa"/>
              <w:bottom w:w="75" w:type="dxa"/>
              <w:left w:w="90" w:type="dxa"/>
              <w:right w:w="90" w:type="dxa"/>
            </w:tcMar>
          </w:tcPr>
          <w:p>
            <w:pPr>
              <w:spacing w:after="0" w:line="240" w:lineRule="auto"/>
            </w:pPr>
            <w:r>
              <w:rPr>
                <w:sz w:val="21"/>
              </w:rPr>
              <w:t>Unrelated identifier</w:t>
            </w:r>
          </w:p>
        </w:tc>
        <w:tc>
          <w:tcPr>
            <w:tcW w:type="dxa" w:w="720"/>
            <w:vAlign w:val="center"/>
            <w:tcMar>
              <w:top w:w="75" w:type="dxa"/>
              <w:bottom w:w="75" w:type="dxa"/>
              <w:left w:w="90" w:type="dxa"/>
              <w:right w:w="90" w:type="dxa"/>
            </w:tcMar>
          </w:tcPr>
          <w:p>
            <w:pPr>
              <w:spacing w:after="0" w:line="240" w:lineRule="auto"/>
              <w:jc w:val="center"/>
            </w:pPr>
            <w:r>
              <w:rPr>
                <w:sz w:val="21"/>
              </w:rPr>
              <w:t>162</w:t>
            </w:r>
          </w:p>
        </w:tc>
        <w:tc>
          <w:tcPr>
            <w:tcW w:type="dxa" w:w="1224"/>
            <w:vAlign w:val="center"/>
            <w:tcMar>
              <w:top w:w="75" w:type="dxa"/>
              <w:bottom w:w="75" w:type="dxa"/>
              <w:left w:w="90" w:type="dxa"/>
              <w:right w:w="90" w:type="dxa"/>
            </w:tcMar>
          </w:tcPr>
          <w:p>
            <w:pPr>
              <w:spacing w:after="0" w:line="240" w:lineRule="auto"/>
              <w:jc w:val="center"/>
            </w:pPr>
            <w:r>
              <w:rPr>
                <w:sz w:val="21"/>
              </w:rPr>
              <w:t>apart</w:t>
            </w:r>
          </w:p>
        </w:tc>
        <w:tc>
          <w:tcPr>
            <w:tcW w:type="dxa" w:w="2304"/>
            <w:vAlign w:val="center"/>
            <w:tcMar>
              <w:top w:w="75" w:type="dxa"/>
              <w:bottom w:w="75" w:type="dxa"/>
              <w:left w:w="90" w:type="dxa"/>
              <w:right w:w="90" w:type="dxa"/>
            </w:tcMar>
          </w:tcPr>
          <w:p>
            <w:pPr>
              <w:spacing w:after="0" w:line="240" w:lineRule="auto"/>
              <w:jc w:val="center"/>
            </w:pPr>
            <w:r>
              <w:rPr>
                <w:sz w:val="21"/>
              </w:rPr>
              <w:t>0</w:t>
            </w:r>
          </w:p>
        </w:tc>
        <w:tc>
          <w:tcPr>
            <w:tcW w:type="dxa" w:w="2592"/>
            <w:vAlign w:val="center"/>
            <w:tcMar>
              <w:top w:w="75" w:type="dxa"/>
              <w:bottom w:w="75" w:type="dxa"/>
              <w:left w:w="90" w:type="dxa"/>
              <w:right w:w="90" w:type="dxa"/>
            </w:tcMar>
          </w:tcPr>
          <w:p>
            <w:pPr>
              <w:spacing w:after="0" w:line="240" w:lineRule="auto"/>
              <w:jc w:val="center"/>
            </w:pPr>
            <w:r>
              <w:rPr>
                <w:sz w:val="21"/>
              </w:rPr>
              <w:t>39</w:t>
            </w:r>
          </w:p>
        </w:tc>
      </w:tr>
    </w:tbl>
    <w:p>
      <w:pPr>
        <w:spacing w:after="40"/>
      </w:pPr>
    </w:p>
    <w:p>
      <w:pPr/>
      <w:r>
        <w:t>TF IDF has recall 0.986 and precision 0.274 on this set. The proposal's target of precision 0.90 is not met. Character n grams measure how much text two messages share, not which part differs, and no threshold separates the two kinds of pair. Exact matching merges nothing wrongly and none of the 70. In the product a changed identifier normally places the event in another block before any text is compared, so these wrong merges were not observed on recorded data; the result describes the similarity step in isolation.</w:t>
      </w:r>
    </w:p>
    <w:p>
      <w:pPr>
        <w:pStyle w:val="Heading2"/>
      </w:pPr>
      <w:r>
        <w:t>Product advice follow check</w:t>
      </w:r>
    </w:p>
    <w:p>
      <w:pPr/>
      <w:r>
        <w:t>A separate scripted follow check used the frozen rc2 product (</w:t>
      </w:r>
      <w:r>
        <w:rPr>
          <w:rFonts w:ascii="Liberation Mono" w:hAnsi="Liberation Mono"/>
          <w:sz w:val="20"/>
        </w:rPr>
        <w:t>5c224cf</w:t>
      </w:r>
      <w:r>
        <w:t>) through MCP on the 22 sealed tasks, without a language model. It executed printed commands or preregistered interpretations of named source changes, calling check_again after each action, for at most six rounds. Final checks used the same H5 scoring rules. Seventeen of eighteen A to D tasks were repaired, with no protected edits; E and F each had zero repairs out of two. The development pack result was ten of ten scope tasks. This measures advice on selected new constructed instances, not human usability or the frequency of covered faults in real repositories.</w:t>
      </w:r>
    </w:p>
    <w:p>
      <w:pPr/>
      <w:r>
        <w:t>The one unrepaired scope task, eb1, received recognition of a removed SQLAlchemy module but no executable replacement. Task ec3 succeeded through an editable installation written as an alternative, while its first title suggested saving an import path. In ee1, the initial passing headline could mislead because the check omitted the project's usual pytest options; ee2 received unconfirmed generic advice. The F controls require code investigation rather than an environment repair. These cases qualify the rc2 17/18 result. The later rc5 knowledge and reporting changes are described in Section 4.3 rather than retroactively applied to the old experiment.</w:t>
      </w:r>
    </w:p>
    <w:p>
      <w:pPr>
        <w:pStyle w:val="Heading2"/>
      </w:pPr>
      <w:r>
        <w:t>Human study and Windows acceptance</w:t>
      </w:r>
    </w:p>
    <w:p>
      <w:pPr/>
      <w:r>
        <w:t xml:space="preserve">The user study protocol records completion, elapsed time, cause explanations and System Usability Scale (SUS) responses [15]. The repository currently supplies demonstration fixtures for its analysis program. They are not participant data. Real sessions are planned for the week of 12 October 2026; no usable participant results have been collected. We do not report a SUS score or a human time saving until the sessions and analysis have been reviewed. Final Windows installation and end to end acceptance likewise require a teammate's real machine.</w:t>
      </w:r>
    </w:p>
    <w:p>
      <w:pPr/>
      <w:r>
        <w:t>The final delivery version also remains pending: rc5 is the trial baseline while teammate feedback is collected.</w:t>
      </w:r>
    </w:p>
    <w:p>
      <w:pPr>
        <w:pStyle w:val="Heading1"/>
      </w:pPr>
      <w:r>
        <w:t>6 Findings and discussion</w:t>
      </w:r>
    </w:p>
    <w:p>
      <w:pPr>
        <w:pStyle w:val="Heading2"/>
      </w:pPr>
      <w:r>
        <w:t>Findings</w:t>
      </w:r>
    </w:p>
    <w:p>
      <w:pPr/>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pPr/>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pPr/>
      <w:r>
        <w:t>On real repositories the first obstacle lay before diagnosis. The frozen product gave no required installation, upgrade or version-pin command for those code defects, yet it rarely reached the failing test, because a default pytest run does not match how many projects run their tests. Letting the user or agent name the tests removed most of this in three held-out tests. A diagnostic tool has to meet the project's own way of running before its rules and knowledge matter.</w:t>
      </w:r>
    </w:p>
    <w:p>
      <w:pPr/>
      <w:r>
        <w:t>Several components could not be shown to help on the material available. Similarity grouping decides nothing on recorded data that exact matching does not, and on constructed pairs it merges messages that name different things. Next-step ordering equals the order of the messages on the five multi-fault cases. These are stated as results, not as successes of the components.</w:t>
      </w:r>
    </w:p>
    <w:p>
      <w:pPr/>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pPr/>
      <w:r>
        <w:t>The formal pack comprises only eighteen scope tasks and four controls, with five repeats per arm for local models and three for the cloud extension. Tasks were constructed from selected failure mechanisms, and the developer and independent reviewer both used AI assistance. New task instances and preregistration reduce some bias but do not establish general real-world reliability.</w:t>
      </w:r>
    </w:p>
    <w:p>
      <w:pPr/>
      <w:r>
        <w:t>Most primary tasks exercise mechanisms already represented in the rules or knowledge base. The B and D API removals were sampled from existing knowledge, while A and C instantiate existing mechanisms in new projects. E contains only two environment faults that the product does not cover; F contains two code defect controls. The sealed instances therefore test new instances of supported mechanisms, rather than broad coverage of previously unknown fault types. Coverage across unselected real repositories remains unmeasured. Broader tests of previously uncovered environment failures are proposed for team discussion; they have not been run.</w:t>
      </w:r>
    </w:p>
    <w:p>
      <w:pPr/>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pPr/>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pPr/>
      <w:r>
        <w:t>The cloud extension cannot freeze provider sampling, reasoning quantity, cache state or model updates. It supplies one additional model under its recorded service conditions, not a general result about strong agents. Cloud and local outcomes are kept separate.</w:t>
      </w:r>
    </w:p>
    <w:p>
      <w:pPr/>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pPr/>
      <w:r>
        <w:t>The held-out tests on real defects cover code defects only, in environments that contain just the packages of the defect's own test, two of them without network access. They support the statements about verification and about not blaming the environment when the tests are named. In default use the product still stops early on incomplete environments, a very large suite can exceed its record limit, and one rule can state a wrong cause without a hedge when a missing module resembles a project file (5 of 28 defects in the third test).</w:t>
      </w:r>
    </w:p>
    <w:p>
      <w:pPr/>
      <w:r>
        <w:t>A fix that also changes a file the project counts as a test is reported as "the tests changed" and is not closed. This is deliberate and costs a correct closure in such cases.</w:t>
      </w:r>
    </w:p>
    <w:p>
      <w:pPr/>
      <w:r>
        <w:t>The diagnosis comparison of Section 5.2 and the difficult cases are development data, and the product's own answer on them (215 of 220) includes 32 answers of a tree trained on that very set. The advice judgements of Section 5.8 come from one rater.</w:t>
      </w:r>
    </w:p>
    <w:p>
      <w:pPr/>
      <w:r>
        <w:t>Human usability and final Windows acceptance remain evidence gaps. An 80% universal reliability claim would not follow from the recorded synthetic repair percentages.</w:t>
      </w:r>
    </w:p>
    <w:p>
      <w:pPr>
        <w:pStyle w:val="Heading2"/>
      </w:pPr>
      <w:r>
        <w:t>Deviations from the proposal and next work</w:t>
      </w:r>
    </w:p>
    <w:p>
      <w:pPr/>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pPr>
        <w:keepNext/>
      </w:pPr>
      <w:r>
        <w:t>Against the proposal's evaluation plan:</w:t>
      </w:r>
    </w:p>
    <w:p>
      <w:pPr>
        <w:ind w:left="202" w:hanging="202"/>
      </w:pPr>
      <w:r>
        <w:t>- Message grouping: the target of precision 0.90 on hard cases is not met by the similarity method (0.274 on constructed pairs); exact matching would meet it trivially and merge none.</w:t>
      </w:r>
    </w:p>
    <w:p>
      <w:pPr>
        <w:ind w:left="202" w:hanging="202"/>
      </w:pPr>
      <w:r>
        <w:t>- Next-step guidance: the comparison with naive orderings was made, and the available cases cannot show a difference.</w:t>
      </w:r>
    </w:p>
    <w:p>
      <w:pPr>
        <w:ind w:left="202" w:hanging="202"/>
      </w:pPr>
      <w:r>
        <w:t>- Feature ablation: grouping and ordering were ablated; the ablation without the display of evidence was not made, because it requires participants.</w:t>
      </w:r>
    </w:p>
    <w:p>
      <w:pPr>
        <w:ind w:left="202" w:hanging="202"/>
      </w:pPr>
      <w:r>
        <w:t>- Real defects: more than eight defects in more than four libraries were used, on release candidates of 0.8.0 and not on v0.7.0 as the task card planned; the check holds when the tests are named.</w:t>
      </w:r>
    </w:p>
    <w:p>
      <w:pPr>
        <w:ind w:left="202" w:hanging="202"/>
      </w:pPr>
      <w:r>
        <w:t>- The agent comparison used constructed tasks sealed until the product was frozen, not the real projects first planned, after 84 runs on two real projects had shown no measurable difference.</w:t>
      </w:r>
    </w:p>
    <w:p>
      <w:pPr/>
      <w:r>
        <w:t>The next priorities are the real user sessions and the Windows checks. Product or model changes after a freeze must be evaluated as a new version with newly separated development and test evidence; the three candidates after the agent experiment followed that rule, and their material is now used up.</w:t>
      </w:r>
    </w:p>
    <w:p>
      <w:pPr>
        <w:pStyle w:val="Heading1"/>
      </w:pPr>
      <w:r>
        <w:t>References</w:t>
      </w:r>
    </w:p>
    <w:p>
      <w:pPr/>
      <w:r>
        <w:t xml:space="preserve">[1] S. Mukherjee, A. Almanza and C. Rubio-González. 2021. Fixing Dependency Errors for Python Build Reproducibility. ISSTA 2021, 439-451. DOI 10.1145/3460319.3464797. Author copy: https://web.cs.ucdavis.edu/~rubio/includes/issta21.pdf.</w:t>
      </w:r>
    </w:p>
    <w:p>
      <w:pPr/>
      <w:r>
        <w:t xml:space="preserve">[2] E. Horton and C. Parnin. 2019. DockerizeMe: Automatic Inference of Environment Dependencies for Python Code Snippets. ICSE 2019, 328-338. DOI 10.1109/ICSE.2019.00047. Preprint: https://arxiv.org/abs/1905.11127.</w:t>
      </w:r>
    </w:p>
    <w:p>
      <w:pPr/>
      <w:r>
        <w:t xml:space="preserve">[3] R. Widyasari et al. 2020. BugsInPy: A Database of Existing Bugs in Python Programs to Enable Controlled Testing and Debugging Studies. ESEC/FSE 2020, 1556-1560. DOI 10.1145/3368089.3417943. Author preprint: https://arxiv.org/abs/2401.15481.</w:t>
      </w:r>
    </w:p>
    <w:p>
      <w:pPr/>
      <w:r>
        <w:t>[4] pip documentation. pip check. https://pip.pypa.io/en/stable/cli/pip_check/. Accessed 9 October 2026.</w:t>
      </w:r>
    </w:p>
    <w:p>
      <w:pPr/>
      <w:r>
        <w:t xml:space="preserve">[5] tox-dev. pipdeptree. https://github.com/tox-dev/pipdeptree. Accessed 9 October 2026.</w:t>
      </w:r>
    </w:p>
    <w:p>
      <w:pPr/>
      <w:r>
        <w:t>[6] GitHub documentation. Dependabot options reference. https://docs.github.com/en/code-security/reference/supply-chain-security/dependabot-options-reference. Accessed 9 October 2026.</w:t>
      </w:r>
    </w:p>
    <w:p>
      <w:pPr/>
      <w:r>
        <w:t>[7] Renovate documentation. https://docs.renovatebot.com/. Accessed 9 October 2026.</w:t>
      </w:r>
    </w:p>
    <w:p>
      <w:pPr/>
      <w:r>
        <w:t>[8] tox documentation. https://tox.wiki/en/stable/. Accessed 9 October 2026.</w:t>
      </w:r>
    </w:p>
    <w:p>
      <w:pPr/>
      <w:r>
        <w:t xml:space="preserve">[9] Model Context Protocol. Specification, revision 2025-11-25. https://modelcontextprotocol.io/specification/2025-11-25. Accessed 12 October 2026.</w:t>
      </w:r>
    </w:p>
    <w:p>
      <w:pPr/>
      <w:r>
        <w:t xml:space="preserve">[10] F. Pedregosa, G. Varoquaux, A. Gramfort et al. 2011. Scikit-learn: Machine Learning in Python. Journal of Machine Learning Research 12, 2825-2830. https://www.jmlr.org/papers/v12/pedregosa11a.html.</w:t>
      </w:r>
    </w:p>
    <w:p>
      <w:pPr/>
      <w:r>
        <w:t xml:space="preserve">[11] Qwen. 2026. Qwen3.6-35B-A3B. Model card. https://huggingface.co/Qwen/Qwen3.6-35B-A3B. Run as the 6 bit MLX conversion mlx-community/Qwen3.6-35B-A3B-6bit, revision cb7e092. https://huggingface.co/mlx-community/Qwen3.6-35B-A3B-6bit. Accessed 12 October 2026.</w:t>
      </w:r>
    </w:p>
    <w:p>
      <w:pPr/>
      <w:r>
        <w:t xml:space="preserve">[12] Qwen. 2026. Qwen3.8-27B. Model card. https://huggingface.co/Qwen/Qwen3.8-27B. Run as the 4 bit MLX conversion lmstudio-community/Qwen3.8-27B-MLX-4bit, revision 6067b15. https://huggingface.co/lmstudio-community/Qwen3.8-27B-MLX-4bit. Accessed 12 October 2026.</w:t>
      </w:r>
    </w:p>
    <w:p>
      <w:pPr/>
      <w:r>
        <w:t xml:space="preserve">[13] mlx-community. 2026. gemma-4-26B-A4B-it-qat-4bit. Model card. 4 bit MLX build of Gemma 4 26B A4B, instruction tuned, quantisation aware trained. https://huggingface.co/mlx-community/gemma-4-26B-A4B-it-qat-4bit. Accessed 12 October 2026.</w:t>
      </w:r>
    </w:p>
    <w:p>
      <w:pPr/>
      <w:r>
        <w:t xml:space="preserve">[14] DeepSeek. Models &amp; Pricing. DeepSeek API Docs. https://api-docs.deepseek.com/quick_start/pricing. Accessed 12 October 2026.</w:t>
      </w:r>
    </w:p>
    <w:p>
      <w:pPr/>
      <w:r>
        <w:t xml:space="preserve">[15] J. Brooke. 1996. SUS: A 'Quick and Dirty' Usability Scale. In P. W. Jordan, B. Thomas, I. L. McClelland and B. Weerdmeester (eds.), Usability Evaluation in Industry. CRC Press, 207-212. DOI 10.1201/9781498710411-35.</w:t>
      </w:r>
    </w:p>
    <w:p>
      <w:pPr/>
      <w:r>
        <w:t>Project result identities, files and calculation sources are registered in docs/report/SOURCES.md and docs/report-assets/B11-results-v0.6-20261012.json. The A2, B3, B7, BugsInPy, diagnosis, ordering and grouping evidence cited here is now published in main and pinned in that register.</w:t>
      </w:r>
    </w:p>
    <w:p>
      <w:pPr>
        <w:pStyle w:val="Heading1"/>
      </w:pPr>
      <w:r>
        <w:t>Appendix A Project proposal</w:t>
      </w:r>
    </w:p>
    <w:p>
      <w:pPr/>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ageBreakBefore/>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cantSplit/>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rPr>
          <w:cantSplit/>
        </w:trP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rPr>
          <w:cantSplit/>
        </w:trP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rPr>
          <w:cantSplit/>
        </w:trP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rPr>
          <w:cantSplit/>
        </w:trP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rPr>
          <w:cantSplit/>
        </w:trP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pPr/>
      <w:r>
        <w:t>This mapping follows the team's course alignment record. It does not label the bounded version search as A star or evolutionary computing.</w:t>
      </w:r>
    </w:p>
    <w:p>
      <w:pPr>
        <w:pStyle w:val="Heading1"/>
        <w:pageBreakBefore/>
      </w:pPr>
      <w:r>
        <w:t>Appendix C Installation and user guide</w:t>
      </w:r>
    </w:p>
    <w:p>
      <w:pPr/>
      <w:r>
        <w:t>The following guide is also supplied at docs/USER_GUIDE.md. It includes the actual sample repair, direct program execution, CLI commands and MCP configuration. It installs the rc5 trial freeze, not the earlier rc2 used in the B7 agent experiment. Independent installation checks remain part of the submission checklist.</w:t>
      </w:r>
    </w:p>
    <w:p>
      <w:pPr/>
      <w:r>
        <w:t xml:space="preserve">This guide covers the 0.8.0rc5 trial baseline at </w:t>
      </w:r>
      <w:r>
        <w:rPr>
          <w:rFonts w:ascii="Liberation Mono" w:hAnsi="Liberation Mono"/>
          <w:sz w:val="20"/>
        </w:rPr>
        <w:t>b12-rc5-freeze-20261010</w:t>
      </w:r>
      <w:r>
        <w:t xml:space="preserve"> (commit </w:t>
      </w:r>
      <w:r>
        <w:rPr>
          <w:rFonts w:ascii="Liberation Mono" w:hAnsi="Liberation Mono"/>
          <w:sz w:val="20"/>
        </w:rPr>
        <w:t>646c12a4b8f8ea076ab888092a5f885fe9c4e2be</w:t>
      </w:r>
      <w:r>
        <w:t>). The final delivery version awaits teammate feedback. This guide is a working draft for team review. Use the browser or command line to diagnose your project, or connect the same checks to a coding agent through MCP. You make the changes; FixFirst checks their effect.</w:t>
      </w:r>
    </w:p>
    <w:p>
      <w:pPr>
        <w:pStyle w:val="Heading2"/>
      </w:pPr>
      <w:r>
        <w:t>1 What you need</w:t>
      </w:r>
    </w:p>
    <w:p>
      <w:pPr/>
      <w:r>
        <w:t>Use macOS, Linux or Windows 10/11 with Python 3.10 or later to install FixFirst. Python 3.12 is a convenient choice. Git is optional if you download the source ZIP instead. First installation needs internet access.</w:t>
      </w:r>
    </w:p>
    <w:p>
      <w:pPr/>
      <w:r>
        <w:t xml:space="preserve">There are </w:t>
      </w:r>
      <w:r>
        <w:rPr>
          <w:b/>
        </w:rPr>
        <w:t>two Python environments</w:t>
      </w:r>
      <w:r>
        <w:t xml:space="preserve">: FixFirst's </w:t>
      </w:r>
      <w:r>
        <w:rPr>
          <w:rFonts w:ascii="Liberation Mono" w:hAnsi="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pPr/>
      <w:r>
        <w:t>Checks run project code, just as its tests or program do. Use projects you trust. FixFirst's normal checks do not need a language model or API key.</w:t>
      </w:r>
    </w:p>
    <w:p>
      <w:pPr>
        <w:pStyle w:val="Heading2"/>
      </w:pPr>
      <w:r>
        <w:t>2 Install and start</w:t>
      </w:r>
    </w:p>
    <w:p>
      <w:pPr/>
      <w:r>
        <w:t xml:space="preserve">If you downloaded the source ZIP, extract it and open a terminal in that folder. Skip the </w:t>
      </w:r>
      <w:r>
        <w:rPr>
          <w:rFonts w:ascii="Liberation Mono" w:hAnsi="Liberation Mono"/>
          <w:sz w:val="20"/>
        </w:rPr>
        <w:t>git clone</w:t>
      </w:r>
      <w:r>
        <w:t xml:space="preserve"> and </w:t>
      </w:r>
      <w:r>
        <w:rPr>
          <w:rFonts w:ascii="Liberation Mono" w:hAnsi="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pPr/>
      <w:r>
        <w:t xml:space="preserve">If your Python has another command or location, replace </w:t>
      </w:r>
      <w:r>
        <w:rPr>
          <w:rFonts w:ascii="Liberation Mono" w:hAnsi="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sz w:val="18"/>
        </w:rPr>
        <w:t>git clone --branch b12-rc5-freeze-20261010 --depth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pPr/>
      <w:r>
        <w:t xml:space="preserve">The execution policy option applies to that setup process. It does not permanently change your machine's policy. After setup, </w:t>
      </w:r>
      <w:r>
        <w:rPr>
          <w:rFonts w:ascii="Liberation Mono" w:hAnsi="Liberation Mono"/>
          <w:sz w:val="20"/>
        </w:rPr>
        <w:t>start-fixfirst.bat</w:t>
      </w:r>
      <w:r>
        <w:t xml:space="preserve"> is another way to start the application. On macOS, </w:t>
      </w:r>
      <w:r>
        <w:rPr>
          <w:rFonts w:ascii="Liberation Mono" w:hAnsi="Liberation Mono"/>
          <w:sz w:val="20"/>
        </w:rPr>
        <w:t>start-fixfirst.command</w:t>
      </w:r>
      <w:r>
        <w:t xml:space="preserve"> is available.</w:t>
      </w:r>
    </w:p>
    <w:p>
      <w:pPr/>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image.jp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pPr/>
      <w:r>
        <w:t xml:space="preserve">On the start page choose </w:t>
      </w:r>
      <w:r>
        <w:rPr>
          <w:b/>
        </w:rPr>
        <w:t>Open a sample project</w:t>
      </w:r>
      <w:r>
        <w:t xml:space="preserve">. FixFirst creates a separate example with four faults and a </w:t>
      </w:r>
      <w:r>
        <w:rPr>
          <w:rFonts w:ascii="Liberation Mono" w:hAnsi="Liberation Mono"/>
          <w:sz w:val="20"/>
        </w:rPr>
        <w:t>FIXES.md</w:t>
      </w:r>
      <w:r>
        <w:t xml:space="preserve"> file. Do not edit the original </w:t>
      </w:r>
      <w:r>
        <w:rPr>
          <w:rFonts w:ascii="Liberation Mono" w:hAnsi="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sz w:val="20"/>
        </w:rPr>
        <w:t>pricing.py</w:t>
      </w:r>
      <w:r>
        <w:t xml:space="preserve">, change </w:t>
      </w:r>
      <w:r>
        <w:rPr>
          <w:rFonts w:ascii="Liberation Mono" w:hAnsi="Liberation Mono"/>
          <w:sz w:val="20"/>
        </w:rPr>
        <w:t>from collections import Mapping</w:t>
      </w:r>
      <w:r>
        <w:t xml:space="preserve"> to </w:t>
      </w:r>
      <w:r>
        <w:rPr>
          <w:rFonts w:ascii="Liberation Mono" w:hAnsi="Liberation Mono"/>
          <w:sz w:val="20"/>
        </w:rPr>
        <w:t>from collections.abc import Mapping</w:t>
      </w:r>
      <w:r>
        <w:t>.</w:t>
      </w:r>
    </w:p>
    <w:p>
      <w:pPr>
        <w:ind w:left="202" w:hanging="202"/>
      </w:pPr>
      <w:r>
        <w:t xml:space="preserve">2. In </w:t>
      </w:r>
      <w:r>
        <w:rPr>
          <w:rFonts w:ascii="Liberation Mono" w:hAnsi="Liberation Mono"/>
          <w:sz w:val="20"/>
        </w:rPr>
        <w:t>reports.py</w:t>
      </w:r>
      <w:r>
        <w:t xml:space="preserve">, change </w:t>
      </w:r>
      <w:r>
        <w:rPr>
          <w:rFonts w:ascii="Liberation Mono" w:hAnsi="Liberation Mono"/>
          <w:sz w:val="20"/>
        </w:rPr>
        <w:t>from helper import double</w:t>
      </w:r>
      <w:r>
        <w:t xml:space="preserve"> to </w:t>
      </w:r>
      <w:r>
        <w:rPr>
          <w:rFonts w:ascii="Liberation Mono" w:hAnsi="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sz w:val="20"/>
        </w:rPr>
        <w:t>stats.py</w:t>
      </w:r>
      <w:r>
        <w:t xml:space="preserve">, replace </w:t>
      </w:r>
      <w:r>
        <w:rPr>
          <w:rFonts w:ascii="Liberation Mono" w:hAnsi="Liberation Mono"/>
          <w:sz w:val="20"/>
        </w:rPr>
        <w:t>numpy.float(sum(values))</w:t>
      </w:r>
      <w:r>
        <w:t xml:space="preserve"> with </w:t>
      </w:r>
      <w:r>
        <w:rPr>
          <w:rFonts w:ascii="Liberation Mono" w:hAnsi="Liberation Mono"/>
          <w:sz w:val="20"/>
        </w:rPr>
        <w:t>float(sum(values))</w:t>
      </w:r>
      <w:r>
        <w:t>.</w:t>
      </w:r>
    </w:p>
    <w:p>
      <w:pPr>
        <w:ind w:left="202" w:hanging="202"/>
      </w:pPr>
      <w:r>
        <w:t xml:space="preserve">5. For this sample only, replace </w:t>
      </w:r>
      <w:r>
        <w:rPr>
          <w:rFonts w:ascii="Liberation Mono" w:hAnsi="Liberation Mono"/>
          <w:sz w:val="20"/>
        </w:rPr>
        <w:t>os.environ["SHOP_API_TOKEN"]</w:t>
      </w:r>
      <w:r>
        <w:t xml:space="preserve"> in </w:t>
      </w:r>
      <w:r>
        <w:rPr>
          <w:rFonts w:ascii="Liberation Mono" w:hAnsi="Liberation Mono"/>
          <w:sz w:val="20"/>
        </w:rPr>
        <w:t>orders.py</w:t>
      </w:r>
      <w:r>
        <w:t xml:space="preserve"> with </w:t>
      </w:r>
      <w:r>
        <w:rPr>
          <w:rFonts w:ascii="Liberation Mono" w:hAnsi="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image.jp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pPr/>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image.jp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pPr/>
      <w:r>
        <w:t xml:space="preserve">Enter your </w:t>
      </w:r>
      <w:r>
        <w:rPr>
          <w:b/>
        </w:rPr>
        <w:t>project folder</w:t>
      </w:r>
      <w:r>
        <w:t xml:space="preserve">, not a single source file. Select its Python executable, for example </w:t>
      </w:r>
      <w:r>
        <w:rPr>
          <w:rFonts w:ascii="Liberation Mono" w:hAnsi="Liberation Mono"/>
          <w:sz w:val="20"/>
        </w:rPr>
        <w:t>.venv/bin/python</w:t>
      </w:r>
      <w:r>
        <w:t xml:space="preserve"> on macOS/Linux or </w:t>
      </w:r>
      <w:r>
        <w:rPr>
          <w:rFonts w:ascii="Liberation Mono" w:hAnsi="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pPr/>
      <w:r>
        <w:rPr>
          <w:b/>
        </w:rPr>
        <w:t>Name the tests when the project has its own way of running them.</w:t>
      </w:r>
      <w:r>
        <w:t xml:space="preserve"> By default </w:t>
      </w:r>
      <w:r>
        <w:rPr>
          <w:b/>
        </w:rPr>
        <w:t>Make my tests pass</w:t>
      </w:r>
      <w:r>
        <w:t xml:space="preserve"> runs pytest from the project folder with no selection. Many repositories do not work that way: their test files have other names, some need packages you have not installed, or a helper file stops collection. FixFirst then reports </w:t>
      </w:r>
      <w:r>
        <w:rPr>
          <w:b/>
        </w:rPr>
        <w:t>Default pytest did not find any tests</w:t>
      </w:r>
      <w:r>
        <w:t xml:space="preserve"> or a failure that has nothing to do with yours. In that case fill in </w:t>
      </w:r>
      <w:r>
        <w:rPr>
          <w:b/>
        </w:rPr>
        <w:t>Tests to run (optional, one file or pytest node ID per line)</w:t>
      </w:r>
      <w:r>
        <w:t xml:space="preserve">, for example </w:t>
      </w:r>
      <w:r>
        <w:rPr>
          <w:rFonts w:ascii="Liberation Mono" w:hAnsi="Liberation Mono"/>
          <w:sz w:val="20"/>
        </w:rPr>
        <w:t>tests/test_orders.py</w:t>
      </w:r>
      <w:r>
        <w:t xml:space="preserve"> or </w:t>
      </w:r>
      <w:r>
        <w:rPr>
          <w:rFonts w:ascii="Liberation Mono" w:hAnsi="Liberation Mono"/>
          <w:sz w:val="20"/>
        </w:rPr>
        <w:t>tests/test_orders.py::test_total</w:t>
      </w:r>
      <w:r>
        <w:t xml:space="preserve">. The selection is saved with the session and used again by </w:t>
      </w:r>
      <w:r>
        <w:rPr>
          <w:b/>
        </w:rPr>
        <w:t>Check again</w:t>
      </w:r>
      <w:r>
        <w:t>. Its result covers the named tests only.</w:t>
      </w:r>
    </w:p>
    <w:p>
      <w:pPr/>
      <w:r>
        <w:t xml:space="preserve">For a program, select the entry you normally run. Put each argument on a separate line and supply standard input when the program uses </w:t>
      </w:r>
      <w:r>
        <w:rPr>
          <w:rFonts w:ascii="Liberation Mono" w:hAnsi="Liberation Mono"/>
          <w:sz w:val="20"/>
        </w:rPr>
        <w:t>input()</w:t>
      </w:r>
      <w:r>
        <w:t xml:space="preserve">. A complete exit code 0 produces </w:t>
      </w:r>
      <w:r>
        <w:rPr>
          <w:b/>
        </w:rPr>
        <w:t>Program completed successfully</w:t>
      </w:r>
      <w:r>
        <w:t>. This verifies that entry and input, not all business logic or assignment answers.</w:t>
      </w:r>
    </w:p>
    <w:p>
      <w:pPr/>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pPr/>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sz w:val="18"/>
        </w:rPr>
        <w:t>.venv/bin/python -m pip install -e '.[notebooks]'</w:t>
      </w:r>
    </w:p>
    <w:p>
      <w:pPr/>
      <w:r>
        <w:t xml:space="preserve">The selected notebook environment also needs </w:t>
      </w:r>
      <w:r>
        <w:rPr>
          <w:rFonts w:ascii="Liberation Mono" w:hAnsi="Liberation Mono"/>
          <w:sz w:val="20"/>
        </w:rPr>
        <w:t>ipykernel</w:t>
      </w:r>
      <w:r>
        <w:t>. Cells execute in a fresh kernel. Interactive input, GUI applications and indefinitely running services need another workflow.</w:t>
      </w:r>
    </w:p>
    <w:p>
      <w:pPr>
        <w:pStyle w:val="Heading2"/>
      </w:pPr>
      <w:r>
        <w:t>5 Understand the result</w:t>
      </w:r>
    </w:p>
    <w:p>
      <w:pPr/>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pPr/>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pPr/>
      <w:r>
        <w:t>Changing the entry, input or interpreter requires fresh verification. A partial, timed-out or cancelled check does not close an original issue. When the project sets its own pytest options, FixFirst checks with fixed options first and then confirms a repair by a second run that uses the project's options. The issue is closed only if that run executes the same tests and all pass (</w:t>
      </w:r>
      <w:r>
        <w:rPr>
          <w:b/>
        </w:rPr>
        <w:t>Verified with the project's pytest options</w:t>
      </w:r>
      <w:r>
        <w:t xml:space="preserve">); otherwise you see </w:t>
      </w:r>
      <w:r>
        <w:rPr>
          <w:b/>
        </w:rPr>
        <w:t>Project pytest options were not verified</w:t>
      </w:r>
      <w:r>
        <w:t xml:space="preserve"> with the reason, and should run your usual test command yourself.</w:t>
      </w:r>
    </w:p>
    <w:p>
      <w:pPr/>
      <w:r>
        <w:t xml:space="preserve">Three messages mean that the check itself was incomplete, not that a cause was found. </w:t>
      </w:r>
      <w:r>
        <w:rPr>
          <w:b/>
        </w:rPr>
        <w:t>Default pytest did not find any tests</w:t>
      </w:r>
      <w:r>
        <w:t xml:space="preserve">: name the tests as in Section 4. </w:t>
      </w:r>
      <w:r>
        <w:rPr>
          <w:b/>
        </w:rPr>
        <w:t>Test records are incomplete</w:t>
      </w:r>
      <w:r>
        <w:t xml:space="preserve">: the suite produced more records than FixFirst keeps; the failures seen are retained, and a smaller test range gives a complete check. </w:t>
      </w:r>
      <w:r>
        <w:rPr>
          <w:b/>
        </w:rPr>
        <w:t>pytest stopped with an internal error</w:t>
      </w:r>
      <w:r>
        <w:t>: pytest itself failed before finishing; the cause is not confirmed.</w:t>
      </w:r>
    </w:p>
    <w:p>
      <w:pPr/>
      <w:r>
        <w:t>Editing tests, conftest files or protected selection settings is not taken as repairing the original failure. If you intentionally change the project specification, the human interface can accept a new baseline. An MCP agent cannot use that operation.</w:t>
      </w:r>
    </w:p>
    <w:p>
      <w:pPr/>
      <w:r>
        <w:t>If a step only asks you to inspect the project's code or tests, FixFirst does not yet have a supported environment repair for that failure. It is not a general business logic repair system.</w:t>
      </w:r>
    </w:p>
    <w:p>
      <w:pPr>
        <w:pStyle w:val="Heading2"/>
      </w:pPr>
      <w:r>
        <w:t>6 Use the command line</w:t>
      </w:r>
    </w:p>
    <w:p>
      <w:pPr/>
      <w:r>
        <w:t xml:space="preserve">The following commands run from the FixFirst checkout. Replace </w:t>
      </w:r>
      <w:r>
        <w:rPr>
          <w:rFonts w:ascii="Liberation Mono" w:hAnsi="Liberation Mono"/>
          <w:sz w:val="20"/>
        </w:rPr>
        <w:t>/path/to/project</w:t>
      </w:r>
      <w:r>
        <w:t xml:space="preserve">, the target Python path and </w:t>
      </w:r>
      <w:r>
        <w:rPr>
          <w:rFonts w:ascii="Liberation Mono" w:hAnsi="Liberation Mono"/>
          <w:sz w:val="20"/>
        </w:rPr>
        <w:t>SESSION_ID</w:t>
      </w:r>
      <w:r>
        <w:t xml:space="preserve"> with your values. On Windows, use </w:t>
      </w:r>
      <w:r>
        <w:rPr>
          <w:rFonts w:ascii="Liberation Mono" w:hAnsi="Liberation Mono"/>
          <w:sz w:val="20"/>
        </w:rPr>
        <w:t>.\.venv\Scripts\fixfirst.exe</w:t>
      </w:r>
      <w:r>
        <w:t xml:space="preserve"> and Windows paths; quote paths containing spaces.</w:t>
      </w:r>
    </w:p>
    <w:p>
      <w:pPr>
        <w:keepLines/>
        <w:spacing w:before="60" w:after="140" w:line="240" w:lineRule="auto"/>
      </w:pPr>
      <w:r>
        <w:rPr>
          <w:rFonts w:ascii="Liberation Mono" w:hAnsi="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 xml:space="preserve">To name the tests on the command line, add </w:t>
      </w:r>
      <w:r>
        <w:rPr>
          <w:rFonts w:ascii="Liberation Mono" w:hAnsi="Liberation Mono"/>
          <w:sz w:val="20"/>
        </w:rPr>
        <w:t>--tests</w:t>
      </w:r>
      <w:r>
        <w:t xml:space="preserve"> with files or node IDs:</w:t>
      </w:r>
    </w:p>
    <w:p>
      <w:pPr>
        <w:keepLines/>
        <w:spacing w:before="60" w:after="140" w:line="240" w:lineRule="auto"/>
      </w:pPr>
      <w:r>
        <w:rPr>
          <w:rFonts w:ascii="Liberation Mono" w:hAnsi="Liberation Mono"/>
          <w:sz w:val="18"/>
        </w:rPr>
        <w:t>.venv/bin/fixfirst init /path/to/project \</w:t>
        <w:br/>
        <w:t xml:space="preserve">  --python /path/to/project/.venv/bin/python --goal pass_tests \</w:t>
        <w:br/>
        <w:t xml:space="preserve">  --tests tests/test_orders.py::test_total</w:t>
      </w:r>
    </w:p>
    <w:p>
      <w:pPr>
        <w:keepNext/>
      </w:pPr>
      <w:r>
        <w:t>For a project without tests:</w:t>
      </w:r>
    </w:p>
    <w:p>
      <w:pPr>
        <w:keepLines/>
        <w:spacing w:before="60" w:after="140" w:line="240" w:lineRule="auto"/>
      </w:pPr>
      <w:r>
        <w:rPr>
          <w:rFonts w:ascii="Liberation Mono" w:hAnsi="Liberation Mono"/>
          <w:sz w:val="18"/>
        </w:rPr>
        <w:t>.venv/bin/fixfirst init /path/to/project \</w:t>
        <w:br/>
        <w:t xml:space="preserve">  --python /path/to/project/.venv/bin/python \</w:t>
        <w:br/>
        <w:t xml:space="preserve">  --goal run_project --script main.py</w:t>
        <w:br/>
        <w:t>.venv/bin/fixfirst scan SESSION_ID</w:t>
      </w:r>
    </w:p>
    <w:p>
      <w:pPr/>
      <w:r>
        <w:rPr>
          <w:rFonts w:ascii="Liberation Mono" w:hAnsi="Liberation Mono"/>
          <w:sz w:val="20"/>
        </w:rPr>
        <w:t>--module package.main</w:t>
      </w:r>
      <w:r>
        <w:t xml:space="preserve"> selects a module entry. Repeat </w:t>
      </w:r>
      <w:r>
        <w:rPr>
          <w:rFonts w:ascii="Liberation Mono" w:hAnsi="Liberation Mono"/>
          <w:sz w:val="20"/>
        </w:rPr>
        <w:t>--arg VALUE</w:t>
      </w:r>
      <w:r>
        <w:t xml:space="preserve"> for arguments; use </w:t>
      </w:r>
      <w:r>
        <w:rPr>
          <w:rFonts w:ascii="Liberation Mono" w:hAnsi="Liberation Mono"/>
          <w:sz w:val="20"/>
        </w:rPr>
        <w:t>--arg=--flag</w:t>
      </w:r>
      <w:r>
        <w:t xml:space="preserve"> for an argument beginning with a dash. </w:t>
      </w:r>
      <w:r>
        <w:rPr>
          <w:rFonts w:ascii="Liberation Mono" w:hAnsi="Liberation Mono"/>
          <w:sz w:val="20"/>
        </w:rPr>
        <w:t>--stdin-file answers.txt</w:t>
      </w:r>
      <w:r>
        <w:t xml:space="preserve"> supplies saved input. </w:t>
      </w:r>
      <w:r>
        <w:rPr>
          <w:rFonts w:ascii="Liberation Mono" w:hAnsi="Liberation Mono"/>
          <w:sz w:val="20"/>
        </w:rPr>
        <w:t>--unittest-dir tests</w:t>
      </w:r>
      <w:r>
        <w:t xml:space="preserve"> selects unittest discovery.</w:t>
      </w:r>
    </w:p>
    <w:p>
      <w:pPr/>
      <w:r>
        <w:t xml:space="preserve">The default CLI store is </w:t>
      </w:r>
      <w:r>
        <w:rPr>
          <w:rFonts w:ascii="Liberation Mono" w:hAnsi="Liberation Mono"/>
          <w:sz w:val="20"/>
        </w:rPr>
        <w:t>.fixfirst/</w:t>
      </w:r>
      <w:r>
        <w:t xml:space="preserve"> in the working directory. Put </w:t>
      </w:r>
      <w:r>
        <w:rPr>
          <w:rFonts w:ascii="Liberation Mono" w:hAnsi="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pPr/>
      <w:r>
        <w:t xml:space="preserve">On Windows, the command can be </w:t>
      </w:r>
      <w:r>
        <w:rPr>
          <w:rFonts w:ascii="Liberation Mono" w:hAnsi="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632"/>
      </w:tblGrid>
      <w:tr>
        <w:trPr>
          <w:tblHeader/>
          <w:cantSplit/>
        </w:trPr>
        <w:tc>
          <w:tcPr>
            <w:tcW w:type="dxa" w:w="1728"/>
            <w:vAlign w:val="center"/>
            <w:tcMar>
              <w:top w:w="75" w:type="dxa"/>
              <w:bottom w:w="75" w:type="dxa"/>
              <w:left w:w="90" w:type="dxa"/>
              <w:right w:w="90" w:type="dxa"/>
            </w:tcMar>
            <w:shd w:fill="EAF0F5"/>
          </w:tcPr>
          <w:p>
            <w:pPr>
              <w:spacing w:after="0" w:line="240" w:lineRule="auto"/>
            </w:pPr>
            <w:r>
              <w:rPr>
                <w:b/>
                <w:sz w:val="21"/>
              </w:rPr>
              <w:t>Tool</w:t>
            </w:r>
          </w:p>
        </w:tc>
        <w:tc>
          <w:tcPr>
            <w:tcW w:type="dxa" w:w="7632"/>
            <w:vAlign w:val="center"/>
            <w:tcMar>
              <w:top w:w="75" w:type="dxa"/>
              <w:bottom w:w="75" w:type="dxa"/>
              <w:left w:w="90" w:type="dxa"/>
              <w:right w:w="90" w:type="dxa"/>
            </w:tcMar>
            <w:shd w:fill="EAF0F5"/>
          </w:tcPr>
          <w:p>
            <w:pPr>
              <w:spacing w:after="0" w:line="240" w:lineRule="auto"/>
              <w:jc w:val="center"/>
            </w:pPr>
            <w:r>
              <w:rPr>
                <w:b/>
                <w:sz w:val="21"/>
              </w:rPr>
              <w:t>Use</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diagnose</w:t>
            </w:r>
          </w:p>
        </w:tc>
        <w:tc>
          <w:tcPr>
            <w:tcW w:type="dxa" w:w="7632"/>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check_again</w:t>
            </w:r>
          </w:p>
        </w:tc>
        <w:tc>
          <w:tcPr>
            <w:tcW w:type="dxa" w:w="7632"/>
            <w:vAlign w:val="center"/>
            <w:tcMar>
              <w:top w:w="75" w:type="dxa"/>
              <w:bottom w:w="75" w:type="dxa"/>
              <w:left w:w="90" w:type="dxa"/>
              <w:right w:w="90" w:type="dxa"/>
            </w:tcMar>
          </w:tcPr>
          <w:p>
            <w:pPr>
              <w:spacing w:after="0" w:line="240" w:lineRule="auto"/>
            </w:pPr>
            <w:r>
              <w:rPr>
                <w:sz w:val="21"/>
              </w:rPr>
              <w:t>Repeat the saved checks after the agent changes files</w:t>
            </w:r>
          </w:p>
        </w:tc>
      </w:tr>
      <w:tr>
        <w:trPr>
          <w:cantSplit/>
        </w:trPr>
        <w:tc>
          <w:tcPr>
            <w:tcW w:type="dxa" w:w="1728"/>
            <w:vAlign w:val="center"/>
            <w:tcMar>
              <w:top w:w="75" w:type="dxa"/>
              <w:bottom w:w="75" w:type="dxa"/>
              <w:left w:w="90" w:type="dxa"/>
              <w:right w:w="90" w:type="dxa"/>
            </w:tcMar>
          </w:tcPr>
          <w:p>
            <w:pPr>
              <w:spacing w:after="0" w:line="240" w:lineRule="auto"/>
            </w:pPr>
            <w:r>
              <w:rPr>
                <w:rFonts w:ascii="Liberation Mono" w:hAnsi="Liberation Mono"/>
                <w:sz w:val="21"/>
              </w:rPr>
              <w:t>explain</w:t>
            </w:r>
          </w:p>
        </w:tc>
        <w:tc>
          <w:tcPr>
            <w:tcW w:type="dxa" w:w="7632"/>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sz w:val="20"/>
        </w:rPr>
        <w:t>diagnose</w:t>
      </w:r>
      <w:r>
        <w:t xml:space="preserve"> arguments for tests:</w:t>
      </w:r>
    </w:p>
    <w:p>
      <w:pPr>
        <w:keepLines/>
        <w:spacing w:before="60" w:after="140" w:line="240" w:lineRule="auto"/>
      </w:pPr>
      <w:r>
        <w:rPr>
          <w:rFonts w:ascii="Liberation Mono" w:hAnsi="Liberation Mono"/>
          <w:sz w:val="18"/>
        </w:rPr>
        <w:t>{</w:t>
        <w:br/>
        <w:t xml:space="preserve">  "project": "/absolute/path/to/project",</w:t>
        <w:br/>
        <w:t xml:space="preserve">  "python": "/absolute/path/to/project/.venv/bin/python",</w:t>
        <w:br/>
        <w:t xml:space="preserve">  "goal": "pass_tests"</w:t>
        <w:br/>
        <w:t>}</w:t>
      </w:r>
    </w:p>
    <w:p>
      <w:pPr/>
      <w:r>
        <w:t xml:space="preserve">To limit the check to particular tests, add </w:t>
      </w:r>
      <w:r>
        <w:rPr>
          <w:rFonts w:ascii="Liberation Mono" w:hAnsi="Liberation Mono"/>
          <w:sz w:val="20"/>
        </w:rPr>
        <w:t>"tests": ["tests/test_orders.py::test_total"]</w:t>
      </w:r>
      <w:r>
        <w:t xml:space="preserve">. The selection is kept for </w:t>
      </w:r>
      <w:r>
        <w:rPr>
          <w:rFonts w:ascii="Liberation Mono" w:hAnsi="Liberation Mono"/>
          <w:sz w:val="20"/>
        </w:rPr>
        <w:t>check_again</w:t>
      </w:r>
      <w:r>
        <w:t>.</w:t>
      </w:r>
    </w:p>
    <w:p>
      <w:pPr/>
      <w:r>
        <w:t xml:space="preserve">For a script, use </w:t>
      </w:r>
      <w:r>
        <w:rPr>
          <w:rFonts w:ascii="Liberation Mono" w:hAnsi="Liberation Mono"/>
          <w:sz w:val="20"/>
        </w:rPr>
        <w:t>goal: "run_project"</w:t>
      </w:r>
      <w:r>
        <w:t xml:space="preserve"> and add </w:t>
      </w:r>
      <w:r>
        <w:rPr>
          <w:rFonts w:ascii="Liberation Mono" w:hAnsi="Liberation Mono"/>
          <w:sz w:val="20"/>
        </w:rPr>
        <w:t>execution: {"kind":"script","entry":"main.py"}</w:t>
      </w:r>
      <w:r>
        <w:t xml:space="preserve">. Omit </w:t>
      </w:r>
      <w:r>
        <w:rPr>
          <w:rFonts w:ascii="Liberation Mono" w:hAnsi="Liberation Mono"/>
          <w:sz w:val="20"/>
        </w:rPr>
        <w:t>execution</w:t>
      </w:r>
      <w:r>
        <w:t xml:space="preserve"> for </w:t>
      </w:r>
      <w:r>
        <w:rPr>
          <w:rFonts w:ascii="Liberation Mono" w:hAnsi="Liberation Mono"/>
          <w:sz w:val="20"/>
        </w:rPr>
        <w:t>pass_tests</w:t>
      </w:r>
      <w:r>
        <w:t xml:space="preserve">, </w:t>
      </w:r>
      <w:r>
        <w:rPr>
          <w:rFonts w:ascii="Liberation Mono" w:hAnsi="Liberation Mono"/>
          <w:sz w:val="20"/>
        </w:rPr>
        <w:t>collect_tests</w:t>
      </w:r>
      <w:r>
        <w:t xml:space="preserve"> and </w:t>
      </w:r>
      <w:r>
        <w:rPr>
          <w:rFonts w:ascii="Liberation Mono" w:hAnsi="Liberation Mono"/>
          <w:sz w:val="20"/>
        </w:rPr>
        <w:t>check_style</w:t>
      </w:r>
      <w:r>
        <w:t>. If the tool says to remove an extra parameter, correct it and retry the same goal.</w:t>
      </w:r>
    </w:p>
    <w:p>
      <w:pPr/>
      <w:r>
        <w:t xml:space="preserve">The agent performs source edits and dependency installations; MCP does not silently do those repairs. Use the returned </w:t>
      </w:r>
      <w:r>
        <w:rPr>
          <w:rFonts w:ascii="Liberation Mono" w:hAnsi="Liberation Mono"/>
          <w:sz w:val="20"/>
        </w:rPr>
        <w:t>session_id</w:t>
      </w:r>
      <w:r>
        <w:t xml:space="preserve"> with </w:t>
      </w:r>
      <w:r>
        <w:rPr>
          <w:rFonts w:ascii="Liberation Mono" w:hAnsi="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sz w:val="20"/>
        </w:rPr>
        <w:t>~/.fixfirst/sessions</w:t>
      </w:r>
      <w:r>
        <w:t>. To inspect them in the browser, start the web server with that store:</w:t>
      </w:r>
    </w:p>
    <w:p>
      <w:pPr>
        <w:keepLines/>
        <w:spacing w:before="60" w:after="140" w:line="240" w:lineRule="auto"/>
      </w:pPr>
      <w:r>
        <w:rPr>
          <w:rFonts w:ascii="Liberation Mono" w:hAnsi="Liberation Mono"/>
          <w:sz w:val="18"/>
        </w:rPr>
        <w:t>.venv/bin/fixfirst --store ~/.fixfirst/sessions serve</w:t>
      </w:r>
    </w:p>
    <w:p>
      <w:pPr>
        <w:pStyle w:val="Heading2"/>
      </w:pPr>
      <w:r>
        <w:t>8 Troubleshooting</w:t>
      </w:r>
    </w:p>
    <w:p>
      <w:pPr/>
      <w:r>
        <w:rPr>
          <w:b/>
        </w:rPr>
        <w:t>Python is not found.</w:t>
      </w:r>
      <w:r>
        <w:t xml:space="preserve"> Install a supported Python and pass its executable to the setup script. For checks, select the project's interpreter rather than the tool's interpreter.</w:t>
      </w:r>
    </w:p>
    <w:p>
      <w:pPr/>
      <w:r>
        <w:rPr>
          <w:b/>
        </w:rPr>
        <w:t>PowerShell blocks setup.</w:t>
      </w:r>
      <w:r>
        <w:t xml:space="preserve"> Run the process-scoped </w:t>
      </w:r>
      <w:r>
        <w:rPr>
          <w:rFonts w:ascii="Liberation Mono" w:hAnsi="Liberation Mono"/>
          <w:sz w:val="20"/>
        </w:rPr>
        <w:t>-ExecutionPolicy Bypass</w:t>
      </w:r>
      <w:r>
        <w:t xml:space="preserve"> command in Section 2. Do not permanently relax machine policy just to install this tool.</w:t>
      </w:r>
    </w:p>
    <w:p>
      <w:pPr/>
      <w:r>
        <w:rPr>
          <w:b/>
        </w:rPr>
        <w:t>The browser does not open or a port is busy.</w:t>
      </w:r>
      <w:r>
        <w:t xml:space="preserve"> Use the address printed in the terminal. To choose another port, run </w:t>
      </w:r>
      <w:r>
        <w:rPr>
          <w:rFonts w:ascii="Liberation Mono" w:hAnsi="Liberation Mono"/>
          <w:sz w:val="20"/>
        </w:rPr>
        <w:t>fixfirst serve --port 8765</w:t>
      </w:r>
      <w:r>
        <w:t xml:space="preserve">; </w:t>
      </w:r>
      <w:r>
        <w:rPr>
          <w:rFonts w:ascii="Liberation Mono" w:hAnsi="Liberation Mono"/>
          <w:sz w:val="20"/>
        </w:rPr>
        <w:t>--no-open</w:t>
      </w:r>
      <w:r>
        <w:t xml:space="preserve"> starts without opening a browser.</w:t>
      </w:r>
    </w:p>
    <w:p>
      <w:pPr/>
      <w:r>
        <w:rPr>
          <w:b/>
        </w:rPr>
        <w:t>Checks are slow.</w:t>
      </w:r>
      <w:r>
        <w:t xml:space="preserve"> Test execution, package metadata, antivirus scans and optional release trials can take time. Keep the selected environment local where possible. A timeout is an incomplete check, not a successful repair.</w:t>
      </w:r>
    </w:p>
    <w:p>
      <w:pPr/>
      <w:r>
        <w:rPr>
          <w:b/>
        </w:rPr>
        <w:t>The project has no pytest.</w:t>
      </w:r>
      <w:r>
        <w:t xml:space="preserve"> A program or unittest goal does not require it. A pytest project needs pytest in its own environment, not merely in FixFirst's environment.</w:t>
      </w:r>
    </w:p>
    <w:p>
      <w:pPr/>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pPr/>
      <w:r>
        <w:rPr>
          <w:b/>
        </w:rPr>
        <w:t>Paths contain spaces or Chinese characters.</w:t>
      </w:r>
      <w:r>
        <w:t xml:space="preserve"> Enter the real folder and Python path, and quote command-line paths. Windows output commands are written for PowerShell.</w:t>
      </w:r>
    </w:p>
    <w:p>
      <w:pPr/>
      <w:r>
        <w:rPr>
          <w:b/>
        </w:rPr>
        <w:t>Share a session.</w:t>
      </w:r>
      <w:r>
        <w:t xml:space="preserve"> Use </w:t>
      </w:r>
      <w:r>
        <w:rPr>
          <w:b/>
        </w:rPr>
        <w:t>Download a shareable report</w:t>
      </w:r>
      <w:r>
        <w:t xml:space="preserve"> or </w:t>
      </w:r>
      <w:r>
        <w:rPr>
          <w:rFonts w:ascii="Liberation Mono" w:hAnsi="Liberation Mono"/>
          <w:sz w:val="20"/>
        </w:rPr>
        <w:t>fixfirst export SESSION_ID --output shared.html</w:t>
      </w:r>
      <w:r>
        <w:t>. Inspect the exported copy before sharing it. Keep the local store for follow-up checks.</w:t>
      </w:r>
    </w:p>
    <w:p>
      <w:pPr>
        <w:pStyle w:val="Heading2"/>
      </w:pPr>
      <w:r>
        <w:t>9 Uninstall and retain your work</w:t>
      </w:r>
    </w:p>
    <w:p>
      <w:pPr/>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sz w:val="20"/>
        </w:rPr>
        <w:t>.fixfirst/</w:t>
      </w:r>
      <w:r>
        <w:t xml:space="preserve"> or your custom store; MCP sessions may be in </w:t>
      </w:r>
      <w:r>
        <w:rPr>
          <w:rFonts w:ascii="Liberation Mono" w:hAnsi="Liberation Mono"/>
          <w:sz w:val="20"/>
        </w:rPr>
        <w:t>~/.fixfirst/sessions</w:t>
      </w:r>
      <w:r>
        <w:t>. Back up or export records you want to keep before removing those stores.</w:t>
      </w:r>
    </w:p>
    <w:p>
      <w:pPr/>
      <w:r>
        <w:t xml:space="preserve">The screenshots above retain the earlier rc2 sample workflow. rc5 adds the optional tests field described in Section 4; the core sample repair is unchanged. Updated guide identity and syntax checks are recorded in </w:t>
      </w:r>
      <w:r>
        <w:rPr>
          <w:rFonts w:ascii="Liberation Mono" w:hAnsi="Liberation Mono"/>
          <w:sz w:val="20"/>
        </w:rPr>
        <w:t>docs/report-assets/B14-verification-20261012.json</w:t>
      </w:r>
      <w:r>
        <w:t>; earlier screenshot identities remain in the 9 October record. Final independent macOS and Windows installation checks remain in the submission checklist.</w:t>
      </w:r>
    </w:p>
    <w:p>
      <w:pPr>
        <w:pStyle w:val="Heading1"/>
      </w:pPr>
      <w:r>
        <w:t>Appendix D Individual reports</w:t>
      </w:r>
    </w:p>
    <w:p>
      <w:pPr/>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pPr/>
      <w:r>
        <w:t>Codex and Claude assisted with software implementation, documentation drafts, research checking, experiment preparation and evidence review. Local language models were evaluated as one shot respondents and coding agents; a separate cloud coding agent comparison was completed. Their outputs were retained as experimental data. AI assisted label or score drafts were reviewed by the human team, and the original independent and consensus records were kept where applicable.</w:t>
      </w:r>
    </w:p>
    <w:p>
      <w:pPr/>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headerReference w:type="default" r:id="rId14"/>
      <w:footnotePr>
        <w:numRestart w:val="eachSect"/>
      </w:footnotePr>
      <w:pgSz w:w="12240" w:h="15840"/>
      <w:pgMar w:top="1440" w:bottom="1440" w:left="1440" w:right="144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Liberation Serif" w:hAnsi="Liberation Serif"/>
        <w:b/>
        <w:color w:val="000000"/>
        <w:sz w:val="18"/>
      </w:rPr>
      <w:t>DRAFT — INCOMPLETE — FOR TEAM DISCUSSION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dc:title>
  <dc:creator>HE ZIHANG</dc:creator>
  <cp:keywords/>
  <dcterms:created xsi:type="dcterms:W3CDTF">2026-09-29T12:09:40Z</dcterms:created>
  <dcterms:modified xsi:type="dcterms:W3CDTF">2026-09-29T12:09:40Z</dcterms:modified>
  <cp:lastModifiedBy>HE ZIHANG</cp:lastModifiedBy>
  <dc:description/>
  <dc:subject>Incomplete draft for team review; rc5 remains a trial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