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0600177A">
      <w:pPr>
        <w:pStyle w:val="000003"/>
        <w:keepNext w:val="1"/>
        <w:keepLines w:val="1"/>
        <w:spacing w:before="720" w:beforeAutospacing="1" w:after="384" w:afterAutospacing="1" w:line="360"/>
        <w:jc w:val="center"/>
        <w:outlineLvl w:val="0"/>
        <w:rPr>
          <w:color w:val="000000"/>
          <w:kern w:val="44"/>
          <w:sz w:val="44"/>
          <w:szCs w:val="44"/>
        </w:rPr>
      </w:pPr>
      <w:r>
        <w:rPr>
          <w:rFonts w:ascii="Times New Roman" w:hAnsi="Times New Roman" w:eastAsia="Times New Roman" w:cs="Times New Roman"/>
          <w:b w:val="1"/>
          <w:color w:val="000000"/>
          <w:sz w:val="36"/>
        </w:rPr>
        <w:t>CarotKcat: sequence- and substrate-informed deep learning prediction of enzyme turnover numbers with application to carotenoid biosynthesis</w:t>
      </w:r>
    </w:p>
    <w:p w14:paraId="5664A0A7">
      <w:pPr>
        <w:spacing w:after="120" w:line="360"/>
        <w:jc w:val="center"/>
        <w:rPr>
          <w:color w:val="000000"/>
        </w:rPr>
      </w:pPr>
      <w:r>
        <w:rPr>
          <w:rFonts w:ascii="Times New Roman" w:hAnsi="Times New Roman" w:eastAsia="Times New Roman" w:cs="Times New Roman"/>
          <w:color w:val="000000"/>
          <w:sz w:val="24"/>
        </w:rPr>
        <w:t>Ziheng et al.</w:t>
      </w:r>
      <w:r>
        <w:rPr>
          <w:vertAlign w:val="superscript"/>
        </w:rPr>
        <w:t>a</w:t>
      </w:r>
      <w:r>
        <w:rPr>
          <w:rFonts w:ascii="Times New Roman" w:hAnsi="Times New Roman" w:eastAsia="Times New Roman" w:cs="Times New Roman"/>
          <w:color w:val="000000"/>
          <w:sz w:val="24"/>
        </w:rPr>
        <w:t xml:space="preserve"> </w:t>
      </w:r>
      <w:r>
        <w:rPr>
          <w:rFonts w:ascii="Times New Roman" w:hAnsi="Times New Roman" w:eastAsia="Times New Roman" w:cs="Times New Roman"/>
          <w:i w:val="1"/>
          <w:color w:val="000000"/>
          <w:sz w:val="24"/>
        </w:rPr>
        <w:t>(author list to be completed)</w:t>
      </w:r>
    </w:p>
    <w:p w14:paraId="6013DAC8">
      <w:pPr>
        <w:spacing w:after="72" w:line="360"/>
        <w:jc w:val="center"/>
        <w:rPr>
          <w:color w:val="555555"/>
        </w:rPr>
      </w:pPr>
      <w:r>
        <w:rPr>
          <w:vertAlign w:val="superscript"/>
        </w:rPr>
        <w:t>a</w:t>
      </w:r>
      <w:r>
        <w:rPr>
          <w:rFonts w:ascii="Times New Roman" w:hAnsi="Times New Roman" w:eastAsia="Times New Roman" w:cs="Times New Roman"/>
          <w:color w:val="555555"/>
          <w:sz w:val="21"/>
        </w:rPr>
        <w:t xml:space="preserve"> Affiliation to be completed</w:t>
      </w:r>
    </w:p>
    <w:p w14:paraId="271ED6F9">
      <w:pPr>
        <w:spacing w:after="72" w:line="360"/>
        <w:jc w:val="center"/>
        <w:rPr>
          <w:color w:val="555555"/>
        </w:rPr>
      </w:pPr>
      <w:r>
        <w:rPr>
          <w:rFonts w:ascii="Times New Roman" w:hAnsi="Times New Roman" w:eastAsia="Times New Roman" w:cs="Times New Roman"/>
          <w:color w:val="555555"/>
          <w:sz w:val="21"/>
        </w:rPr>
        <w:t>Correspondence: to be completed</w:t>
      </w:r>
    </w:p>
    <w:p w14:paraId="2372A137">
      <w:pPr>
        <w:spacing w:before="384" w:after="192" w:line="360"/>
        <w:jc w:val="center"/>
        <w:rPr>
          <w:color w:val="555555"/>
        </w:rPr>
        <w:sectPr>
          <w:type w:val="nextPage"/>
          <w:pgSz w:w="11906" w:h="16838"/>
          <w:pgMar w:top="1440" w:right="1800" w:bottom="1440" w:left="1800" w:header="851" w:footer="992" w:gutter="0"/>
        </w:sectPr>
      </w:pPr>
      <w:r>
        <w:rPr>
          <w:rFonts w:ascii="Times New Roman" w:hAnsi="Times New Roman" w:eastAsia="Times New Roman" w:cs="Times New Roman"/>
          <w:color w:val="555555"/>
          <w:sz w:val="21"/>
        </w:rPr>
        <w:t>Manuscript draft v1 — 24 October 2026</w:t>
      </w:r>
    </w:p>
    <w:p w14:paraId="330079C3">
      <w:pPr>
        <w:pBdr>
          <w:left w:val="single" w:color="01579b" w:sz="18"/>
        </w:pBdr>
        <w:spacing w:after="120" w:line="360"/>
        <w:rPr>
          <w:color w:val="000000"/>
        </w:rPr>
      </w:pPr>
      <w:r>
        <w:rPr>
          <w:rFonts w:ascii="Times New Roman" w:hAnsi="Times New Roman" w:eastAsia="Times New Roman" w:cs="Times New Roman"/>
          <w:b w:val="1"/>
          <w:color w:val="000000"/>
          <w:sz w:val="24"/>
        </w:rPr>
        <w:t>Abstract</w:t>
      </w:r>
    </w:p>
    <w:p w14:paraId="09EFB972">
      <w:pPr>
        <w:pBdr>
          <w:left w:val="single" w:color="01579b" w:sz="18"/>
        </w:pBdr>
        <w:spacing w:after="120" w:line="360"/>
        <w:rPr>
          <w:color w:val="000000"/>
        </w:rPr>
      </w:pPr>
      <w:r>
        <w:rPr>
          <w:rFonts w:ascii="Times New Roman" w:hAnsi="Times New Roman" w:eastAsia="Times New Roman" w:cs="Times New Roman"/>
          <w:b w:val="1"/>
          <w:color w:val="000000"/>
          <w:sz w:val="22"/>
        </w:rPr>
        <w:t>Motivation:</w:t>
      </w:r>
      <w:r>
        <w:rPr>
          <w:rFonts w:ascii="Times New Roman" w:hAnsi="Times New Roman" w:eastAsia="Times New Roman" w:cs="Times New Roman"/>
          <w:color w:val="000000"/>
          <w:sz w:val="22"/>
        </w:rPr>
        <w:t xml:space="preserve"> The turnover number (kcat) is the key kinetic parameter for enzyme-constrained metabolic modelling and pathway engineering, yet experimental measurements cover only a small fraction of enzymes. This gap is especially acute for secondary-metabolism pathways such as carotenoid biosynthesis, whose core enzymes (CrtE/B/I/Y/Z/W) are among the least kinetically characterised despite their industrial importance for lycopene, β-carotene and astaxanthin production.</w:t>
      </w:r>
    </w:p>
    <w:p w14:paraId="7048C7D8">
      <w:pPr>
        <w:pBdr>
          <w:left w:val="single" w:color="01579b" w:sz="18"/>
        </w:pBdr>
        <w:spacing w:after="120" w:line="360"/>
        <w:rPr>
          <w:color w:val="000000"/>
        </w:rPr>
      </w:pPr>
      <w:r>
        <w:rPr>
          <w:rFonts w:ascii="Times New Roman" w:hAnsi="Times New Roman" w:eastAsia="Times New Roman" w:cs="Times New Roman"/>
          <w:b w:val="1"/>
          <w:color w:val="000000"/>
          <w:sz w:val="22"/>
        </w:rPr>
        <w:t>Results:</w:t>
      </w:r>
      <w:r>
        <w:rPr>
          <w:rFonts w:ascii="Times New Roman" w:hAnsi="Times New Roman" w:eastAsia="Times New Roman" w:cs="Times New Roman"/>
          <w:color w:val="000000"/>
          <w:sz w:val="22"/>
        </w:rPr>
        <w:t xml:space="preserve"> We present CarotKcat, a dual-tower deep learning model that predicts kcat directly from enzyme amino-acid sequence (ESM-2 650M embeddings) and substrate structure (molecular fingerprints). Trained on 17,051 curated records covering 2,164 substrates and ~2,700 enzymes integrated from BRENDA and SABIO-RK, CarotKcat achieves Pearson r = 0.727 (R² = 0.528) under random splitting and r = 0.440 (R² = 0.189) under a stricter enzyme-group split, outperforming tree-based reimplementations of UniKP- and TurNuP-style baselines on unseen enzymes.</w:t>
      </w:r>
    </w:p>
    <w:p w14:paraId="624E735B">
      <w:pPr>
        <w:pBdr>
          <w:left w:val="single" w:color="01579b" w:sz="18"/>
        </w:pBdr>
        <w:spacing w:after="120" w:line="360"/>
        <w:rPr>
          <w:color w:val="000000"/>
        </w:rPr>
      </w:pPr>
      <w:r>
        <w:rPr>
          <w:rFonts w:ascii="Times New Roman" w:hAnsi="Times New Roman" w:eastAsia="Times New Roman" w:cs="Times New Roman"/>
          <w:color w:val="000000"/>
          <w:sz w:val="22"/>
        </w:rPr>
        <w:t>In a held-out literature case study of 11 carotenoid-pathway enzymes absent from training, CarotKcat reproduced the pathway-level rate-limiting hierarchy (CrtB &gt; CrtE &gt; CrtI; Spearman ρ = 0.60), matched the measured kcat of yeast GGPP synthase within 1.4-fold, and correctly predicted the substrate preference of β-carotene hydroxylase CrtZ. We additionally provide proteome-scale kcat predictions for 3,725 carotenoid-related enzymes and a zero-installation web interface.</w:t>
      </w:r>
    </w:p>
    <w:p w14:paraId="7D91BA6A">
      <w:pPr>
        <w:pBdr>
          <w:left w:val="single" w:color="01579b" w:sz="18"/>
        </w:pBdr>
        <w:spacing w:after="120" w:line="360"/>
        <w:rPr>
          <w:color w:val="000000"/>
        </w:rPr>
      </w:pPr>
      <w:r>
        <w:rPr>
          <w:rFonts w:ascii="Times New Roman" w:hAnsi="Times New Roman" w:eastAsia="Times New Roman" w:cs="Times New Roman"/>
          <w:b w:val="1"/>
          <w:color w:val="000000"/>
          <w:sz w:val="22"/>
        </w:rPr>
        <w:t>Availability:</w:t>
      </w:r>
      <w:r>
        <w:rPr>
          <w:rFonts w:ascii="Times New Roman" w:hAnsi="Times New Roman" w:eastAsia="Times New Roman" w:cs="Times New Roman"/>
          <w:color w:val="000000"/>
          <w:sz w:val="22"/>
        </w:rPr>
        <w:t xml:space="preserve"> Code, models, data and the web server are freely available at https://github.com/ZihengHQU/CarotKcat</w:t>
      </w:r>
    </w:p>
    <w:p w14:paraId="55DE4260">
      <w:pPr>
        <w:pBdr>
          <w:left w:val="single" w:color="01579b" w:sz="18"/>
        </w:pBdr>
        <w:spacing w:before="120" w:after="192" w:line="360"/>
        <w:rPr>
          <w:color w:val="000000"/>
        </w:rPr>
      </w:pPr>
      <w:r>
        <w:rPr>
          <w:rFonts w:ascii="Times New Roman" w:hAnsi="Times New Roman" w:eastAsia="Times New Roman" w:cs="Times New Roman"/>
          <w:b w:val="1"/>
          <w:color w:val="000000"/>
          <w:sz w:val="22"/>
        </w:rPr>
        <w:t>Keywords:</w:t>
      </w:r>
      <w:r>
        <w:rPr>
          <w:rFonts w:ascii="Times New Roman" w:hAnsi="Times New Roman" w:eastAsia="Times New Roman" w:cs="Times New Roman"/>
          <w:color w:val="000000"/>
          <w:sz w:val="22"/>
        </w:rPr>
        <w:t xml:space="preserve"> kcat prediction; enzyme kinetics; deep learning; protein language model; carotenoid biosynthesis; metabolic engineering</w:t>
      </w:r>
    </w:p>
    <w:p w14:paraId="305F9A4F">
      <w:pPr>
        <w:pStyle w:val="000004"/>
        <w:keepNext w:val="1"/>
        <w:keepLines w:val="1"/>
        <w:spacing w:before="384" w:beforeAutospacing="1" w:after="240" w:afterAutospacing="1" w:line="360"/>
        <w:outlineLvl w:val="1"/>
        <w:rPr>
          <w:color w:val="000000"/>
          <w:sz w:val="32"/>
          <w:szCs w:val="32"/>
        </w:rPr>
      </w:pPr>
      <w:r>
        <w:rPr>
          <w:rFonts w:ascii="Times New Roman" w:hAnsi="Times New Roman" w:eastAsia="Times New Roman" w:cs="Times New Roman"/>
          <w:b w:val="1"/>
          <w:color w:val="000000"/>
          <w:sz w:val="30"/>
        </w:rPr>
        <w:t>1. Introduction</w:t>
      </w:r>
    </w:p>
    <w:p w14:paraId="5AB3356B">
      <w:pPr>
        <w:spacing w:after="192" w:line="360"/>
        <w:ind w:firstLine="480"/>
        <w:rPr>
          <w:color w:val="000000"/>
        </w:rPr>
      </w:pPr>
      <w:r>
        <w:rPr>
          <w:rFonts w:ascii="Times New Roman" w:hAnsi="Times New Roman" w:eastAsia="Times New Roman" w:cs="Times New Roman"/>
          <w:color w:val="000000"/>
          <w:sz w:val="24"/>
        </w:rPr>
        <w:t>Carotenoids — including β-carotene, lycopene, zeaxanthin and astaxanthin — are high-value isoprenoid pigments widely produced by microbial cell factories. Rational improvement of their titres requires quantitative knowledge of pathway kinetics, above all the turnover number (kcat) of each enzyme. kcat is also the central parameter of enzyme-constrained genome-scale metabolic models (ecGEMs), where even a single inaccurate value can distort flux predictions (Li et al., 2022).</w:t>
      </w:r>
    </w:p>
    <w:p w14:paraId="616780E5">
      <w:pPr>
        <w:spacing w:after="192" w:line="360"/>
        <w:ind w:firstLine="480"/>
        <w:rPr>
          <w:color w:val="000000"/>
        </w:rPr>
      </w:pPr>
      <w:r>
        <w:rPr>
          <w:rFonts w:ascii="Times New Roman" w:hAnsi="Times New Roman" w:eastAsia="Times New Roman" w:cs="Times New Roman"/>
          <w:color w:val="000000"/>
          <w:sz w:val="24"/>
        </w:rPr>
        <w:t>Experimental kcat measurements are laborious and remain scarce: the two major public resources, BRENDA and SABIO-RK, together cover only a few thousand enzymes, and coverage is strongly biased towards central metabolism. Carotenoid core enzymes are a striking blind spot: among ~41,500 curated kcat records, the committed carotenoid enzymes phytoene synthase (EC 2.5.1.32), phytoene desaturase (EC 1.3.99.31) and lycopene cyclase are essentially absent, with only the upstream geranylgeranyl diphosphate (GGPP) synthase family moderately represented.</w:t>
      </w:r>
    </w:p>
    <w:p w14:paraId="3113C53E">
      <w:pPr>
        <w:spacing w:after="192" w:line="360"/>
        <w:ind w:firstLine="480"/>
        <w:rPr>
          <w:color w:val="000000"/>
        </w:rPr>
      </w:pPr>
      <w:r>
        <w:rPr>
          <w:rFonts w:ascii="Times New Roman" w:hAnsi="Times New Roman" w:eastAsia="Times New Roman" w:cs="Times New Roman"/>
          <w:color w:val="000000"/>
          <w:sz w:val="24"/>
        </w:rPr>
        <w:t>Deep learning has begun to close this gap. DLKcat (Li et al., 2022) combined a convolutional network on protein sequence with a graph neural network on substrate structure; TurNuP (Kroll et al., 2023) used protein language-model embeddings with gradient-boosted trees; UniKP (Yu et al., 2023) showed that pretrained ESM embeddings plus tree ensembles give strong kcat/Km predictions.</w:t>
      </w:r>
    </w:p>
    <w:p w14:paraId="178125F2">
      <w:pPr>
        <w:spacing w:after="192" w:line="360"/>
        <w:ind w:firstLine="480"/>
        <w:rPr>
          <w:color w:val="000000"/>
        </w:rPr>
      </w:pPr>
      <w:r>
        <w:rPr>
          <w:rFonts w:ascii="Times New Roman" w:hAnsi="Times New Roman" w:eastAsia="Times New Roman" w:cs="Times New Roman"/>
          <w:color w:val="000000"/>
          <w:sz w:val="24"/>
        </w:rPr>
        <w:t>However, these generalist models have not been evaluated on — or adapted to — secondary-metabolism terpenoid pathways, and none offers an accessible prediction tool for non-computational users.</w:t>
      </w:r>
    </w:p>
    <w:p w14:paraId="7A332B4C">
      <w:pPr>
        <w:spacing w:after="192" w:line="360"/>
        <w:ind w:firstLine="480"/>
        <w:rPr>
          <w:color w:val="000000"/>
        </w:rPr>
      </w:pPr>
      <w:r>
        <w:rPr>
          <w:rFonts w:ascii="Times New Roman" w:hAnsi="Times New Roman" w:eastAsia="Times New Roman" w:cs="Times New Roman"/>
          <w:color w:val="000000"/>
          <w:sz w:val="24"/>
        </w:rPr>
        <w:t>Here we introduce CarotKcat, a DLKcat-style dual-tower model trained on the full breadth of public enzyme-kinetic data and specifically optimised for carotenoid biosynthetic enzymes through targeted oversampling and a dedicated evaluation.</w:t>
      </w:r>
    </w:p>
    <w:p w14:paraId="77B4641A">
      <w:pPr>
        <w:spacing w:after="192" w:line="360"/>
        <w:ind w:firstLine="480"/>
        <w:rPr>
          <w:color w:val="000000"/>
        </w:rPr>
      </w:pPr>
      <w:r>
        <w:rPr>
          <w:rFonts w:ascii="Times New Roman" w:hAnsi="Times New Roman" w:eastAsia="Times New Roman" w:cs="Times New Roman"/>
          <w:color w:val="000000"/>
          <w:sz w:val="24"/>
        </w:rPr>
        <w:t>Our contributions are: (i) a reproducible end-to-end pipeline from public databases to a trained sequence+substrate kcat predictor; (ii) a systematic benchmark against UniKP- and TurNuP-style baselines under both random and enzyme-group splits, showing that the dual-tower network generalises better to unseen enzymes; (iii) a held-out literature case study on carotenoid enzymes with experimentally reported kinetics; and (iv) a web server requiring no computational expertise.</w:t>
      </w:r>
    </w:p>
    <w:p w14:paraId="7A330CDC">
      <w:pPr>
        <w:pStyle w:val="000004"/>
        <w:keepNext w:val="1"/>
        <w:keepLines w:val="1"/>
        <w:spacing w:before="384" w:beforeAutospacing="1" w:after="240" w:afterAutospacing="1" w:line="360"/>
        <w:outlineLvl w:val="1"/>
        <w:rPr>
          <w:color w:val="000000"/>
          <w:sz w:val="32"/>
          <w:szCs w:val="32"/>
        </w:rPr>
      </w:pPr>
      <w:r>
        <w:rPr>
          <w:rFonts w:ascii="Times New Roman" w:hAnsi="Times New Roman" w:eastAsia="Times New Roman" w:cs="Times New Roman"/>
          <w:b w:val="1"/>
          <w:color w:val="000000"/>
          <w:sz w:val="30"/>
        </w:rPr>
        <w:t>2. Materials and Methods</w:t>
      </w:r>
    </w:p>
    <w:p w14:paraId="5F0EF89E">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2.1 Data collection and curation</w:t>
      </w:r>
    </w:p>
    <w:p w14:paraId="203CF4B6">
      <w:pPr>
        <w:spacing w:after="192" w:line="360"/>
        <w:ind w:firstLine="480"/>
        <w:rPr>
          <w:color w:val="000000"/>
        </w:rPr>
      </w:pPr>
      <w:r>
        <w:rPr>
          <w:rFonts w:ascii="Times New Roman" w:hAnsi="Times New Roman" w:eastAsia="Times New Roman" w:cs="Times New Roman"/>
          <w:color w:val="000000"/>
          <w:sz w:val="24"/>
        </w:rPr>
        <w:t>The general enzyme-kinetics corpus was obtained from the DLKcat project's integrated BRENDA + SABIO-RK dataset (41,558 records). Records were filtered to entries with valid kcat values in s</w:t>
      </w:r>
      <w:r>
        <w:rPr>
          <w:vertAlign w:val="superscript"/>
        </w:rPr>
        <w:t>-1</w:t>
      </w:r>
      <w:r>
        <w:rPr>
          <w:rFonts w:ascii="Times New Roman" w:hAnsi="Times New Roman" w:eastAsia="Times New Roman" w:cs="Times New Roman"/>
          <w:color w:val="000000"/>
          <w:sz w:val="24"/>
        </w:rPr>
        <w:t>, parseable substrate SMILES, and a resolvable UniProt accession.</w:t>
      </w:r>
    </w:p>
    <w:p w14:paraId="4DA77235">
      <w:pPr>
        <w:spacing w:after="192" w:line="360"/>
        <w:ind w:firstLine="480"/>
        <w:rPr>
          <w:color w:val="000000"/>
        </w:rPr>
      </w:pPr>
      <w:r>
        <w:rPr>
          <w:rFonts w:ascii="Times New Roman" w:hAnsi="Times New Roman" w:eastAsia="Times New Roman" w:cs="Times New Roman"/>
          <w:color w:val="000000"/>
          <w:sz w:val="24"/>
        </w:rPr>
        <w:t>Sequences were retrieved in batch via the UniProt ID-mapping API. After cleaning and sequence matching, the record-level training set comprised 17,051 entries, spanning 2,164 unique substrates and ~2,700 enzymes across all EC classes. Targets were log10-transformed kcat.</w:t>
      </w:r>
    </w:p>
    <w:p w14:paraId="41231F60">
      <w:pPr>
        <w:spacing w:after="192" w:line="360"/>
        <w:ind w:firstLine="480"/>
        <w:rPr>
          <w:color w:val="000000"/>
        </w:rPr>
      </w:pPr>
      <w:r>
        <w:rPr>
          <w:rFonts w:ascii="Times New Roman" w:hAnsi="Times New Roman" w:eastAsia="Times New Roman" w:cs="Times New Roman"/>
          <w:color w:val="000000"/>
          <w:sz w:val="24"/>
        </w:rPr>
        <w:t>For the carotenoid focus set, UniProt was queried for entries matching carotenoid-pathway terms (crtE, crtB, crtI, crtY, crtZ, crtW, crtX, crtO, crtU, phytoene synthase/desaturase, lycopene cyclase, carotene hydroxylase/ketolase, among others), yielding 3,725 sequences for proteome-scale prediction.</w:t>
      </w:r>
    </w:p>
    <w:p w14:paraId="71A6D419">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2.2 Feature representation</w:t>
      </w:r>
    </w:p>
    <w:p w14:paraId="2F636355">
      <w:pPr>
        <w:spacing w:after="192" w:line="360"/>
        <w:ind w:firstLine="480"/>
        <w:rPr>
          <w:color w:val="000000"/>
        </w:rPr>
      </w:pPr>
      <w:r>
        <w:rPr>
          <w:rFonts w:ascii="Times New Roman" w:hAnsi="Times New Roman" w:eastAsia="Times New Roman" w:cs="Times New Roman"/>
          <w:color w:val="000000"/>
          <w:sz w:val="24"/>
        </w:rPr>
        <w:t>Enzyme sequences (truncated to 1,022 residues) were encoded with the frozen ESM-2 t33_650M_UR50D protein language model; layer-33 residue representations were mean-pooled to a 1,280-dimensional vector. Substrates were encoded as Morgan circular fingerprints (radius 2, 2,048 bits) computed with RDKit.</w:t>
      </w:r>
    </w:p>
    <w:p w14:paraId="6F343D14">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2.3 Model architecture and training</w:t>
      </w:r>
    </w:p>
    <w:p w14:paraId="2F7C109C">
      <w:pPr>
        <w:spacing w:after="192" w:line="360"/>
        <w:ind w:firstLine="480"/>
        <w:rPr>
          <w:color w:val="000000"/>
        </w:rPr>
      </w:pPr>
      <w:r>
        <w:rPr>
          <w:rFonts w:ascii="Times New Roman" w:hAnsi="Times New Roman" w:eastAsia="Times New Roman" w:cs="Times New Roman"/>
          <w:color w:val="000000"/>
          <w:sz w:val="24"/>
        </w:rPr>
        <w:t>The CarotKcat dual-tower network maps each modality through a separate multilayer perceptron (sequence: 1280→512→256; substrate: 2048→512→256), concatenates the 256-dimensional embeddings, and predicts log10(kcat) through a fusion head (512→256→64→1).</w:t>
      </w:r>
    </w:p>
    <w:p w14:paraId="229092A3">
      <w:pPr>
        <w:spacing w:after="192" w:line="360"/>
        <w:ind w:firstLine="480"/>
        <w:rPr>
          <w:color w:val="000000"/>
        </w:rPr>
      </w:pPr>
      <w:r>
        <w:rPr>
          <w:rFonts w:ascii="Times New Roman" w:hAnsi="Times New Roman" w:eastAsia="Times New Roman" w:cs="Times New Roman"/>
          <w:color w:val="000000"/>
          <w:sz w:val="24"/>
        </w:rPr>
        <w:t>Training used SmoothL1 loss, AdamW (learning rate 1×10</w:t>
      </w:r>
      <w:r>
        <w:rPr>
          <w:vertAlign w:val="superscript"/>
        </w:rPr>
        <w:t>-4</w:t>
      </w:r>
      <w:r>
        <w:rPr>
          <w:rFonts w:ascii="Times New Roman" w:hAnsi="Times New Roman" w:eastAsia="Times New Roman" w:cs="Times New Roman"/>
          <w:color w:val="000000"/>
          <w:sz w:val="24"/>
        </w:rPr>
        <w:t>, weight decay 1×10</w:t>
      </w:r>
      <w:r>
        <w:rPr>
          <w:vertAlign w:val="superscript"/>
        </w:rPr>
        <w:t>-5</w:t>
      </w:r>
      <w:r>
        <w:rPr>
          <w:rFonts w:ascii="Times New Roman" w:hAnsi="Times New Roman" w:eastAsia="Times New Roman" w:cs="Times New Roman"/>
          <w:color w:val="000000"/>
          <w:sz w:val="24"/>
        </w:rPr>
        <w:t>), cosine annealing over up to 400 epochs, and early stopping on held-out RMSE. Carotenoid-related training records were oversampled 10× to strengthen performance on the target pathway.</w:t>
      </w:r>
    </w:p>
    <w:p w14:paraId="253985B4">
      <w:pPr>
        <w:spacing w:after="192" w:line="360"/>
        <w:ind w:firstLine="480"/>
        <w:rPr>
          <w:color w:val="000000"/>
        </w:rPr>
      </w:pPr>
      <w:r>
        <w:rPr>
          <w:rFonts w:ascii="Times New Roman" w:hAnsi="Times New Roman" w:eastAsia="Times New Roman" w:cs="Times New Roman"/>
          <w:color w:val="000000"/>
          <w:sz w:val="24"/>
        </w:rPr>
        <w:t>Two evaluation protocols were used throughout: (i) a random split (85/15), matching the DLKcat publication protocol; and (ii) an enzyme-group split, in which all records of a given enzyme fall entirely in train or test, providing a leak-free estimate of generalisation to unseen enzymes.</w:t>
      </w:r>
    </w:p>
    <w:p w14:paraId="55105F0D">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2.4 Baselines and ensemble</w:t>
      </w:r>
    </w:p>
    <w:p w14:paraId="4ABF1CC4">
      <w:pPr>
        <w:spacing w:after="192" w:line="360"/>
        <w:ind w:firstLine="480"/>
        <w:rPr>
          <w:color w:val="000000"/>
        </w:rPr>
      </w:pPr>
      <w:r>
        <w:rPr>
          <w:rFonts w:ascii="Times New Roman" w:hAnsi="Times New Roman" w:eastAsia="Times New Roman" w:cs="Times New Roman"/>
          <w:color w:val="000000"/>
          <w:sz w:val="24"/>
        </w:rPr>
        <w:t>We reimplemented two literature-style baselines on identical features and splits: a UniKP-style ExtraTrees regressor and a TurNuP-style XGBoost regressor on concatenated ESM + fingerprint vectors, plus ablations using sequence only (ESM + MLP) and substrate only (fingerprint + MLP). CarotKcat-ensemble averages the log-space predictions of the dual-tower network and XGBoost.</w:t>
      </w:r>
    </w:p>
    <w:p w14:paraId="7B4DC81C">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2.5 Literature case study</w:t>
      </w:r>
    </w:p>
    <w:p w14:paraId="44748023">
      <w:pPr>
        <w:spacing w:after="192" w:line="360"/>
        <w:ind w:firstLine="480"/>
        <w:rPr>
          <w:color w:val="000000"/>
        </w:rPr>
      </w:pPr>
      <w:r>
        <w:rPr>
          <w:rFonts w:ascii="Times New Roman" w:hAnsi="Times New Roman" w:eastAsia="Times New Roman" w:cs="Times New Roman"/>
          <w:color w:val="000000"/>
          <w:sz w:val="24"/>
        </w:rPr>
        <w:t>Carotenoid-pathway enzymes with experimentally reported turnover numbers were curated from the primary literature (Table 2): five CrtI phytoene desaturases with per-step kcat values obtained by COPASI kinetic modelling, in vivo kcat values for Pantoea ananatis CrtB and Xanthophyllomyces dendrorhous CrtI, in vitro kcat for Pantoea agglomerans CrtB, GGPP synthases from human, yeast and Pantoea, and substrate-resolved specific activities for P. ananatis CrtZ.</w:t>
      </w:r>
    </w:p>
    <w:p w14:paraId="082BF5F7">
      <w:pPr>
        <w:spacing w:after="192" w:line="360"/>
        <w:ind w:firstLine="480"/>
        <w:rPr>
          <w:color w:val="000000"/>
        </w:rPr>
      </w:pPr>
      <w:r>
        <w:rPr>
          <w:rFonts w:ascii="Times New Roman" w:hAnsi="Times New Roman" w:eastAsia="Times New Roman" w:cs="Times New Roman"/>
          <w:color w:val="000000"/>
          <w:sz w:val="24"/>
        </w:rPr>
        <w:t>All 11 case-study accessions were verified to be absent from the training set, making this a genuine held-out evaluation. Predictions used CarotKcat-ensemble.</w:t>
      </w:r>
    </w:p>
    <w:p w14:paraId="4D624EDC">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2.6 Web server</w:t>
      </w:r>
    </w:p>
    <w:p w14:paraId="62D4962F">
      <w:pPr>
        <w:spacing w:after="192" w:line="360"/>
        <w:ind w:firstLine="480"/>
        <w:rPr>
          <w:color w:val="000000"/>
        </w:rPr>
      </w:pPr>
      <w:r>
        <w:rPr>
          <w:rFonts w:ascii="Times New Roman" w:hAnsi="Times New Roman" w:eastAsia="Times New Roman" w:cs="Times New Roman"/>
          <w:color w:val="000000"/>
          <w:sz w:val="24"/>
        </w:rPr>
        <w:t>A Gradio-based interface accepts FASTA upload or pasted sequences plus a substrate SMILES, displays the substrate structure, and returns a downloadable prediction table.</w:t>
      </w:r>
    </w:p>
    <w:p w14:paraId="2E391DC0">
      <w:pPr>
        <w:pStyle w:val="000004"/>
        <w:keepNext w:val="1"/>
        <w:keepLines w:val="1"/>
        <w:spacing w:before="384" w:beforeAutospacing="1" w:after="240" w:afterAutospacing="1" w:line="360"/>
        <w:outlineLvl w:val="1"/>
        <w:rPr>
          <w:color w:val="000000"/>
          <w:sz w:val="32"/>
          <w:szCs w:val="32"/>
        </w:rPr>
      </w:pPr>
      <w:r>
        <w:rPr>
          <w:rFonts w:ascii="Times New Roman" w:hAnsi="Times New Roman" w:eastAsia="Times New Roman" w:cs="Times New Roman"/>
          <w:b w:val="1"/>
          <w:color w:val="000000"/>
          <w:sz w:val="30"/>
        </w:rPr>
        <w:t>3. Results</w:t>
      </w:r>
    </w:p>
    <w:p w14:paraId="037C9B2C">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3.1 Overall performance</w:t>
      </w:r>
    </w:p>
    <w:p w14:paraId="6FCC742A">
      <w:pPr>
        <w:spacing w:after="192" w:line="360"/>
        <w:ind w:firstLine="480"/>
        <w:rPr>
          <w:color w:val="000000"/>
        </w:rPr>
      </w:pPr>
      <w:r>
        <w:rPr>
          <w:rFonts w:ascii="Times New Roman" w:hAnsi="Times New Roman" w:eastAsia="Times New Roman" w:cs="Times New Roman"/>
          <w:color w:val="000000"/>
          <w:sz w:val="24"/>
        </w:rPr>
        <w:t>Under the random split, the CarotKcat dual-tower network reached Pearson r = 0.649 and R² = 0.412 on the test set (n ≈ 2,558), comparable to the original DLKcat report (R² ≈ 0.44). The ensemble variant reached r = 0.727 and R² = 0.528 (Fig. 1).</w:t>
      </w:r>
    </w:p>
    <w:p w14:paraId="4849F608">
      <w:pPr>
        <w:spacing w:after="192" w:line="360"/>
        <w:ind w:firstLine="480"/>
        <w:rPr>
          <w:color w:val="000000"/>
        </w:rPr>
      </w:pPr>
      <w:r>
        <w:rPr>
          <w:rFonts w:ascii="Times New Roman" w:hAnsi="Times New Roman" w:eastAsia="Times New Roman" w:cs="Times New Roman"/>
          <w:color w:val="000000"/>
          <w:sz w:val="24"/>
        </w:rPr>
        <w:t>Under the leak-free enzyme-group split (n ≈ 2,813), the network and ensemble both reached r = 0.44, establishing the model's realistic extrapolation performance to enzymes not seen during training.</w:t>
      </w:r>
    </w:p>
    <w:p w14:paraId="2A297C40">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3.2 Comparison with baseline methods</w:t>
      </w:r>
    </w:p>
    <w:p w14:paraId="25DDD130">
      <w:pPr>
        <w:spacing w:after="192" w:line="360"/>
        <w:ind w:firstLine="480"/>
        <w:rPr>
          <w:color w:val="000000"/>
        </w:rPr>
      </w:pPr>
      <w:r>
        <w:rPr>
          <w:rFonts w:ascii="Times New Roman" w:hAnsi="Times New Roman" w:eastAsia="Times New Roman" w:cs="Times New Roman"/>
          <w:color w:val="000000"/>
          <w:sz w:val="24"/>
        </w:rPr>
        <w:t>Tree ensembles were strongest under the random split, where test enzymes often share homologues with training enzymes, but degraded markedly under the enzyme-group split (XGBoost r dropped from 0.735 to 0.366; Table 1).</w:t>
      </w:r>
    </w:p>
    <w:p w14:paraId="392F4E07">
      <w:pPr>
        <w:spacing w:after="192" w:line="360"/>
        <w:ind w:firstLine="480"/>
        <w:rPr>
          <w:color w:val="000000"/>
        </w:rPr>
      </w:pPr>
      <w:r>
        <w:rPr>
          <w:rFonts w:ascii="Times New Roman" w:hAnsi="Times New Roman" w:eastAsia="Times New Roman" w:cs="Times New Roman"/>
          <w:color w:val="000000"/>
          <w:sz w:val="24"/>
        </w:rPr>
        <w:t>The dual-tower network was the most robust to unseen enzymes, and the ensemble combined the strengths of both, ranking first or statistically tied-first under both protocols. The substrate tower contributed substantial signal (substrate-only r = 0.34–0.48), confirming that kcat is jointly determined by enzyme and substrate.</w:t>
      </w:r>
    </w:p>
    <w:p w14:paraId="38CE9E08">
      <w:pPr>
        <w:jc w:val="center"/>
      </w:pPr>
      <w:r>
        <w:rPr>
          <w:color w:val="888888"/>
          <w:sz w:val="18"/>
        </w:rPr>
        <w:t>Table 1. Benchmark of CarotKcat against baseline methods under two evaluation protocols.</w:t>
      </w:r>
    </w:p>
    <w:tbl>
      <w:tblPr>
        <w:tblW w:w="8306" w:type="dxa"/>
        <w:shd w:color="000000"/>
        <w:tblLayout w:type="autofit"/>
        <w:tblCellMar/>
      </w:tblPr>
      <w:tblGrid>
        <w:gridCol w:w="1661"/>
        <w:gridCol w:w="1661"/>
        <w:gridCol w:w="1661"/>
        <w:gridCol w:w="1661"/>
        <w:gridCol w:w="1661"/>
      </w:tblGrid>
      <w:tr>
        <w:trPr>
          <w:tblHeader w:val="1"/>
        </w:trPr>
        <w:tc>
          <w:tcPr>
            <w:tcW w:w="1661"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14598695">
            <w:pPr>
              <w:jc w:val="left"/>
              <w:rPr>
                <w:b w:val="1"/>
                <w:bCs w:val="1"/>
                <w:color w:val="000000"/>
              </w:rPr>
            </w:pPr>
            <w:r>
              <w:rPr>
                <w:rFonts w:ascii="Times New Roman" w:hAnsi="Times New Roman" w:eastAsia="Times New Roman" w:cs="Times New Roman"/>
                <w:b w:val="1"/>
                <w:color w:val="000000"/>
                <w:sz w:val="21"/>
              </w:rPr>
              <w:t>Model</w:t>
            </w:r>
          </w:p>
        </w:tc>
        <w:tc>
          <w:tcPr>
            <w:tcW w:w="1661"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71D8C7AD">
            <w:pPr>
              <w:jc w:val="left"/>
              <w:rPr>
                <w:b w:val="1"/>
                <w:bCs w:val="1"/>
                <w:color w:val="000000"/>
              </w:rPr>
            </w:pPr>
            <w:r>
              <w:rPr>
                <w:rFonts w:ascii="Times New Roman" w:hAnsi="Times New Roman" w:eastAsia="Times New Roman" w:cs="Times New Roman"/>
                <w:b w:val="1"/>
                <w:color w:val="000000"/>
                <w:sz w:val="21"/>
              </w:rPr>
              <w:t>Random split r</w:t>
            </w:r>
          </w:p>
        </w:tc>
        <w:tc>
          <w:tcPr>
            <w:tcW w:w="1661"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73545E45">
            <w:pPr>
              <w:jc w:val="left"/>
              <w:rPr>
                <w:b w:val="1"/>
                <w:bCs w:val="1"/>
                <w:color w:val="000000"/>
              </w:rPr>
            </w:pPr>
            <w:r>
              <w:rPr>
                <w:rFonts w:ascii="Times New Roman" w:hAnsi="Times New Roman" w:eastAsia="Times New Roman" w:cs="Times New Roman"/>
                <w:b w:val="1"/>
                <w:color w:val="000000"/>
                <w:sz w:val="21"/>
              </w:rPr>
              <w:t>Random split R²</w:t>
            </w:r>
          </w:p>
        </w:tc>
        <w:tc>
          <w:tcPr>
            <w:tcW w:w="1661"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3E1DF13C">
            <w:pPr>
              <w:jc w:val="left"/>
              <w:rPr>
                <w:b w:val="1"/>
                <w:bCs w:val="1"/>
                <w:color w:val="000000"/>
              </w:rPr>
            </w:pPr>
            <w:r>
              <w:rPr>
                <w:rFonts w:ascii="Times New Roman" w:hAnsi="Times New Roman" w:eastAsia="Times New Roman" w:cs="Times New Roman"/>
                <w:b w:val="1"/>
                <w:color w:val="000000"/>
                <w:sz w:val="21"/>
              </w:rPr>
              <w:t>Group split r</w:t>
            </w:r>
          </w:p>
        </w:tc>
        <w:tc>
          <w:tcPr>
            <w:tcW w:w="1661"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1B907B3B">
            <w:pPr>
              <w:jc w:val="left"/>
              <w:rPr>
                <w:b w:val="1"/>
                <w:bCs w:val="1"/>
                <w:color w:val="000000"/>
              </w:rPr>
            </w:pPr>
            <w:r>
              <w:rPr>
                <w:rFonts w:ascii="Times New Roman" w:hAnsi="Times New Roman" w:eastAsia="Times New Roman" w:cs="Times New Roman"/>
                <w:b w:val="1"/>
                <w:color w:val="000000"/>
                <w:sz w:val="21"/>
              </w:rPr>
              <w:t>Group split R²</w:t>
            </w:r>
          </w:p>
        </w:tc>
      </w:tr>
      <w:tr>
        <w:trPr/>
        <w:tc>
          <w:tcPr>
            <w:tcW w:w="1661" w:type="dxa"/>
            <w:tcBorders>
              <w:left w:val="none" w:sz="8"/>
              <w:right w:val="none" w:sz="8"/>
            </w:tcBorders>
            <w:tcMar>
              <w:top w:w="72" w:type="dxa"/>
              <w:left w:w="120" w:type="dxa"/>
              <w:bottom w:w="72" w:type="dxa"/>
              <w:right w:w="120" w:type="dxa"/>
            </w:tcMar>
            <w:vAlign w:val="center"/>
          </w:tcPr>
          <w:p w14:paraId="1CF07B7D">
            <w:pPr>
              <w:jc w:val="left"/>
              <w:rPr>
                <w:color w:val="000000"/>
              </w:rPr>
            </w:pPr>
            <w:r>
              <w:rPr>
                <w:rFonts w:ascii="Times New Roman" w:hAnsi="Times New Roman" w:eastAsia="Times New Roman" w:cs="Times New Roman"/>
                <w:b w:val="1"/>
                <w:color w:val="000000"/>
                <w:sz w:val="21"/>
              </w:rPr>
              <w:t>CarotKcat-ensemble</w:t>
            </w:r>
          </w:p>
        </w:tc>
        <w:tc>
          <w:tcPr>
            <w:tcW w:w="1661" w:type="dxa"/>
            <w:tcBorders>
              <w:left w:val="none" w:sz="8"/>
              <w:right w:val="none" w:sz="8"/>
            </w:tcBorders>
            <w:tcMar>
              <w:top w:w="72" w:type="dxa"/>
              <w:left w:w="120" w:type="dxa"/>
              <w:bottom w:w="72" w:type="dxa"/>
              <w:right w:w="120" w:type="dxa"/>
            </w:tcMar>
            <w:vAlign w:val="center"/>
          </w:tcPr>
          <w:p w14:paraId="49719AE1">
            <w:pPr>
              <w:jc w:val="left"/>
              <w:rPr>
                <w:color w:val="000000"/>
              </w:rPr>
            </w:pPr>
            <w:r>
              <w:rPr>
                <w:rFonts w:ascii="Times New Roman" w:hAnsi="Times New Roman" w:eastAsia="Times New Roman" w:cs="Times New Roman"/>
                <w:b w:val="1"/>
                <w:color w:val="000000"/>
                <w:sz w:val="21"/>
              </w:rPr>
              <w:t>0.727</w:t>
            </w:r>
          </w:p>
        </w:tc>
        <w:tc>
          <w:tcPr>
            <w:tcW w:w="1661" w:type="dxa"/>
            <w:tcBorders>
              <w:left w:val="none" w:sz="8"/>
              <w:right w:val="none" w:sz="8"/>
            </w:tcBorders>
            <w:tcMar>
              <w:top w:w="72" w:type="dxa"/>
              <w:left w:w="120" w:type="dxa"/>
              <w:bottom w:w="72" w:type="dxa"/>
              <w:right w:w="120" w:type="dxa"/>
            </w:tcMar>
            <w:vAlign w:val="center"/>
          </w:tcPr>
          <w:p w14:paraId="25F0AA5A">
            <w:pPr>
              <w:jc w:val="left"/>
              <w:rPr>
                <w:color w:val="000000"/>
              </w:rPr>
            </w:pPr>
            <w:r>
              <w:rPr>
                <w:rFonts w:ascii="Times New Roman" w:hAnsi="Times New Roman" w:eastAsia="Times New Roman" w:cs="Times New Roman"/>
                <w:b w:val="1"/>
                <w:color w:val="000000"/>
                <w:sz w:val="21"/>
              </w:rPr>
              <w:t>0.528</w:t>
            </w:r>
          </w:p>
        </w:tc>
        <w:tc>
          <w:tcPr>
            <w:tcW w:w="1661" w:type="dxa"/>
            <w:tcBorders>
              <w:left w:val="none" w:sz="8"/>
              <w:right w:val="none" w:sz="8"/>
            </w:tcBorders>
            <w:tcMar>
              <w:top w:w="72" w:type="dxa"/>
              <w:left w:w="120" w:type="dxa"/>
              <w:bottom w:w="72" w:type="dxa"/>
              <w:right w:w="120" w:type="dxa"/>
            </w:tcMar>
            <w:vAlign w:val="center"/>
          </w:tcPr>
          <w:p w14:paraId="11906A37">
            <w:pPr>
              <w:jc w:val="left"/>
              <w:rPr>
                <w:color w:val="000000"/>
              </w:rPr>
            </w:pPr>
            <w:r>
              <w:rPr>
                <w:rFonts w:ascii="Times New Roman" w:hAnsi="Times New Roman" w:eastAsia="Times New Roman" w:cs="Times New Roman"/>
                <w:b w:val="1"/>
                <w:color w:val="000000"/>
                <w:sz w:val="21"/>
              </w:rPr>
              <w:t>0.440</w:t>
            </w:r>
          </w:p>
        </w:tc>
        <w:tc>
          <w:tcPr>
            <w:tcW w:w="1661" w:type="dxa"/>
            <w:tcBorders>
              <w:left w:val="none" w:sz="8"/>
              <w:right w:val="none" w:sz="8"/>
            </w:tcBorders>
            <w:tcMar>
              <w:top w:w="72" w:type="dxa"/>
              <w:left w:w="120" w:type="dxa"/>
              <w:bottom w:w="72" w:type="dxa"/>
              <w:right w:w="120" w:type="dxa"/>
            </w:tcMar>
            <w:vAlign w:val="center"/>
          </w:tcPr>
          <w:p w14:paraId="421395C3">
            <w:pPr>
              <w:jc w:val="left"/>
              <w:rPr>
                <w:color w:val="000000"/>
              </w:rPr>
            </w:pPr>
            <w:r>
              <w:rPr>
                <w:rFonts w:ascii="Times New Roman" w:hAnsi="Times New Roman" w:eastAsia="Times New Roman" w:cs="Times New Roman"/>
                <w:b w:val="1"/>
                <w:color w:val="000000"/>
                <w:sz w:val="21"/>
              </w:rPr>
              <w:t>0.189</w:t>
            </w:r>
          </w:p>
        </w:tc>
      </w:tr>
      <w:tr>
        <w:trPr/>
        <w:tc>
          <w:tcPr>
            <w:tcW w:w="1661" w:type="dxa"/>
            <w:tcBorders>
              <w:left w:val="none" w:sz="8"/>
              <w:right w:val="none" w:sz="8"/>
            </w:tcBorders>
            <w:tcMar>
              <w:top w:w="72" w:type="dxa"/>
              <w:left w:w="120" w:type="dxa"/>
              <w:bottom w:w="72" w:type="dxa"/>
              <w:right w:w="120" w:type="dxa"/>
            </w:tcMar>
            <w:vAlign w:val="center"/>
          </w:tcPr>
          <w:p w14:paraId="7C8D7627">
            <w:pPr>
              <w:jc w:val="left"/>
              <w:rPr>
                <w:color w:val="000000"/>
              </w:rPr>
            </w:pPr>
            <w:r>
              <w:rPr>
                <w:rFonts w:ascii="Times New Roman" w:hAnsi="Times New Roman" w:eastAsia="Times New Roman" w:cs="Times New Roman"/>
                <w:color w:val="000000"/>
                <w:sz w:val="21"/>
              </w:rPr>
              <w:t>CarotKcat dual-tower NN</w:t>
            </w:r>
          </w:p>
        </w:tc>
        <w:tc>
          <w:tcPr>
            <w:tcW w:w="1661" w:type="dxa"/>
            <w:tcBorders>
              <w:left w:val="none" w:sz="8"/>
              <w:right w:val="none" w:sz="8"/>
            </w:tcBorders>
            <w:tcMar>
              <w:top w:w="72" w:type="dxa"/>
              <w:left w:w="120" w:type="dxa"/>
              <w:bottom w:w="72" w:type="dxa"/>
              <w:right w:w="120" w:type="dxa"/>
            </w:tcMar>
            <w:vAlign w:val="center"/>
          </w:tcPr>
          <w:p w14:paraId="2906CFB2">
            <w:pPr>
              <w:jc w:val="left"/>
              <w:rPr>
                <w:color w:val="000000"/>
              </w:rPr>
            </w:pPr>
            <w:r>
              <w:rPr>
                <w:rFonts w:ascii="Times New Roman" w:hAnsi="Times New Roman" w:eastAsia="Times New Roman" w:cs="Times New Roman"/>
                <w:color w:val="000000"/>
                <w:sz w:val="21"/>
              </w:rPr>
              <w:t>0.649</w:t>
            </w:r>
          </w:p>
        </w:tc>
        <w:tc>
          <w:tcPr>
            <w:tcW w:w="1661" w:type="dxa"/>
            <w:tcBorders>
              <w:left w:val="none" w:sz="8"/>
              <w:right w:val="none" w:sz="8"/>
            </w:tcBorders>
            <w:tcMar>
              <w:top w:w="72" w:type="dxa"/>
              <w:left w:w="120" w:type="dxa"/>
              <w:bottom w:w="72" w:type="dxa"/>
              <w:right w:w="120" w:type="dxa"/>
            </w:tcMar>
            <w:vAlign w:val="center"/>
          </w:tcPr>
          <w:p w14:paraId="059FD71C">
            <w:pPr>
              <w:jc w:val="left"/>
              <w:rPr>
                <w:color w:val="000000"/>
              </w:rPr>
            </w:pPr>
            <w:r>
              <w:rPr>
                <w:rFonts w:ascii="Times New Roman" w:hAnsi="Times New Roman" w:eastAsia="Times New Roman" w:cs="Times New Roman"/>
                <w:color w:val="000000"/>
                <w:sz w:val="21"/>
              </w:rPr>
              <w:t>0.412</w:t>
            </w:r>
          </w:p>
        </w:tc>
        <w:tc>
          <w:tcPr>
            <w:tcW w:w="1661" w:type="dxa"/>
            <w:tcBorders>
              <w:left w:val="none" w:sz="8"/>
              <w:right w:val="none" w:sz="8"/>
            </w:tcBorders>
            <w:tcMar>
              <w:top w:w="72" w:type="dxa"/>
              <w:left w:w="120" w:type="dxa"/>
              <w:bottom w:w="72" w:type="dxa"/>
              <w:right w:w="120" w:type="dxa"/>
            </w:tcMar>
            <w:vAlign w:val="center"/>
          </w:tcPr>
          <w:p w14:paraId="76077889">
            <w:pPr>
              <w:jc w:val="left"/>
              <w:rPr>
                <w:color w:val="000000"/>
              </w:rPr>
            </w:pPr>
            <w:r>
              <w:rPr>
                <w:rFonts w:ascii="Times New Roman" w:hAnsi="Times New Roman" w:eastAsia="Times New Roman" w:cs="Times New Roman"/>
                <w:color w:val="000000"/>
                <w:sz w:val="21"/>
              </w:rPr>
              <w:t>0.439</w:t>
            </w:r>
          </w:p>
        </w:tc>
        <w:tc>
          <w:tcPr>
            <w:tcW w:w="1661" w:type="dxa"/>
            <w:tcBorders>
              <w:left w:val="none" w:sz="8"/>
              <w:right w:val="none" w:sz="8"/>
            </w:tcBorders>
            <w:tcMar>
              <w:top w:w="72" w:type="dxa"/>
              <w:left w:w="120" w:type="dxa"/>
              <w:bottom w:w="72" w:type="dxa"/>
              <w:right w:w="120" w:type="dxa"/>
            </w:tcMar>
            <w:vAlign w:val="center"/>
          </w:tcPr>
          <w:p w14:paraId="228ED872">
            <w:pPr>
              <w:jc w:val="left"/>
              <w:rPr>
                <w:color w:val="000000"/>
              </w:rPr>
            </w:pPr>
            <w:r>
              <w:rPr>
                <w:rFonts w:ascii="Times New Roman" w:hAnsi="Times New Roman" w:eastAsia="Times New Roman" w:cs="Times New Roman"/>
                <w:color w:val="000000"/>
                <w:sz w:val="21"/>
              </w:rPr>
              <w:t>0.163</w:t>
            </w:r>
          </w:p>
        </w:tc>
      </w:tr>
      <w:tr>
        <w:trPr/>
        <w:tc>
          <w:tcPr>
            <w:tcW w:w="1661" w:type="dxa"/>
            <w:tcBorders>
              <w:left w:val="none" w:sz="8"/>
              <w:right w:val="none" w:sz="8"/>
            </w:tcBorders>
            <w:tcMar>
              <w:top w:w="72" w:type="dxa"/>
              <w:left w:w="120" w:type="dxa"/>
              <w:bottom w:w="72" w:type="dxa"/>
              <w:right w:w="120" w:type="dxa"/>
            </w:tcMar>
            <w:vAlign w:val="center"/>
          </w:tcPr>
          <w:p w14:paraId="72D422DD">
            <w:pPr>
              <w:jc w:val="left"/>
              <w:rPr>
                <w:color w:val="000000"/>
              </w:rPr>
            </w:pPr>
            <w:r>
              <w:rPr>
                <w:rFonts w:ascii="Times New Roman" w:hAnsi="Times New Roman" w:eastAsia="Times New Roman" w:cs="Times New Roman"/>
                <w:color w:val="000000"/>
                <w:sz w:val="21"/>
              </w:rPr>
              <w:t>UniKP-style (ExtraTrees)</w:t>
            </w:r>
          </w:p>
        </w:tc>
        <w:tc>
          <w:tcPr>
            <w:tcW w:w="1661" w:type="dxa"/>
            <w:tcBorders>
              <w:left w:val="none" w:sz="8"/>
              <w:right w:val="none" w:sz="8"/>
            </w:tcBorders>
            <w:tcMar>
              <w:top w:w="72" w:type="dxa"/>
              <w:left w:w="120" w:type="dxa"/>
              <w:bottom w:w="72" w:type="dxa"/>
              <w:right w:w="120" w:type="dxa"/>
            </w:tcMar>
            <w:vAlign w:val="center"/>
          </w:tcPr>
          <w:p w14:paraId="2F542345">
            <w:pPr>
              <w:jc w:val="left"/>
              <w:rPr>
                <w:color w:val="000000"/>
              </w:rPr>
            </w:pPr>
            <w:r>
              <w:rPr>
                <w:rFonts w:ascii="Times New Roman" w:hAnsi="Times New Roman" w:eastAsia="Times New Roman" w:cs="Times New Roman"/>
                <w:color w:val="000000"/>
                <w:sz w:val="21"/>
              </w:rPr>
              <w:t>0.725</w:t>
            </w:r>
          </w:p>
        </w:tc>
        <w:tc>
          <w:tcPr>
            <w:tcW w:w="1661" w:type="dxa"/>
            <w:tcBorders>
              <w:left w:val="none" w:sz="8"/>
              <w:right w:val="none" w:sz="8"/>
            </w:tcBorders>
            <w:tcMar>
              <w:top w:w="72" w:type="dxa"/>
              <w:left w:w="120" w:type="dxa"/>
              <w:bottom w:w="72" w:type="dxa"/>
              <w:right w:w="120" w:type="dxa"/>
            </w:tcMar>
            <w:vAlign w:val="center"/>
          </w:tcPr>
          <w:p w14:paraId="1BCCE3F0">
            <w:pPr>
              <w:jc w:val="left"/>
              <w:rPr>
                <w:color w:val="000000"/>
              </w:rPr>
            </w:pPr>
            <w:r>
              <w:rPr>
                <w:rFonts w:ascii="Times New Roman" w:hAnsi="Times New Roman" w:eastAsia="Times New Roman" w:cs="Times New Roman"/>
                <w:color w:val="000000"/>
                <w:sz w:val="21"/>
              </w:rPr>
              <w:t>0.518</w:t>
            </w:r>
          </w:p>
        </w:tc>
        <w:tc>
          <w:tcPr>
            <w:tcW w:w="1661" w:type="dxa"/>
            <w:tcBorders>
              <w:left w:val="none" w:sz="8"/>
              <w:right w:val="none" w:sz="8"/>
            </w:tcBorders>
            <w:tcMar>
              <w:top w:w="72" w:type="dxa"/>
              <w:left w:w="120" w:type="dxa"/>
              <w:bottom w:w="72" w:type="dxa"/>
              <w:right w:w="120" w:type="dxa"/>
            </w:tcMar>
            <w:vAlign w:val="center"/>
          </w:tcPr>
          <w:p w14:paraId="7474205B">
            <w:pPr>
              <w:jc w:val="left"/>
              <w:rPr>
                <w:color w:val="000000"/>
              </w:rPr>
            </w:pPr>
            <w:r>
              <w:rPr>
                <w:rFonts w:ascii="Times New Roman" w:hAnsi="Times New Roman" w:eastAsia="Times New Roman" w:cs="Times New Roman"/>
                <w:color w:val="000000"/>
                <w:sz w:val="21"/>
              </w:rPr>
              <w:t>0.406</w:t>
            </w:r>
          </w:p>
        </w:tc>
        <w:tc>
          <w:tcPr>
            <w:tcW w:w="1661" w:type="dxa"/>
            <w:tcBorders>
              <w:left w:val="none" w:sz="8"/>
              <w:right w:val="none" w:sz="8"/>
            </w:tcBorders>
            <w:tcMar>
              <w:top w:w="72" w:type="dxa"/>
              <w:left w:w="120" w:type="dxa"/>
              <w:bottom w:w="72" w:type="dxa"/>
              <w:right w:w="120" w:type="dxa"/>
            </w:tcMar>
            <w:vAlign w:val="center"/>
          </w:tcPr>
          <w:p w14:paraId="20FC232F">
            <w:pPr>
              <w:jc w:val="left"/>
              <w:rPr>
                <w:color w:val="000000"/>
              </w:rPr>
            </w:pPr>
            <w:r>
              <w:rPr>
                <w:rFonts w:ascii="Times New Roman" w:hAnsi="Times New Roman" w:eastAsia="Times New Roman" w:cs="Times New Roman"/>
                <w:color w:val="000000"/>
                <w:sz w:val="21"/>
              </w:rPr>
              <w:t>0.165</w:t>
            </w:r>
          </w:p>
        </w:tc>
      </w:tr>
      <w:tr>
        <w:trPr/>
        <w:tc>
          <w:tcPr>
            <w:tcW w:w="1661" w:type="dxa"/>
            <w:tcBorders>
              <w:left w:val="none" w:sz="8"/>
              <w:right w:val="none" w:sz="8"/>
            </w:tcBorders>
            <w:tcMar>
              <w:top w:w="72" w:type="dxa"/>
              <w:left w:w="120" w:type="dxa"/>
              <w:bottom w:w="72" w:type="dxa"/>
              <w:right w:w="120" w:type="dxa"/>
            </w:tcMar>
            <w:vAlign w:val="center"/>
          </w:tcPr>
          <w:p w14:paraId="3D675194">
            <w:pPr>
              <w:jc w:val="left"/>
              <w:rPr>
                <w:color w:val="000000"/>
              </w:rPr>
            </w:pPr>
            <w:r>
              <w:rPr>
                <w:rFonts w:ascii="Times New Roman" w:hAnsi="Times New Roman" w:eastAsia="Times New Roman" w:cs="Times New Roman"/>
                <w:color w:val="000000"/>
                <w:sz w:val="21"/>
              </w:rPr>
              <w:t>TurNuP-style (XGBoost)</w:t>
            </w:r>
          </w:p>
        </w:tc>
        <w:tc>
          <w:tcPr>
            <w:tcW w:w="1661" w:type="dxa"/>
            <w:tcBorders>
              <w:left w:val="none" w:sz="8"/>
              <w:right w:val="none" w:sz="8"/>
            </w:tcBorders>
            <w:tcMar>
              <w:top w:w="72" w:type="dxa"/>
              <w:left w:w="120" w:type="dxa"/>
              <w:bottom w:w="72" w:type="dxa"/>
              <w:right w:w="120" w:type="dxa"/>
            </w:tcMar>
            <w:vAlign w:val="center"/>
          </w:tcPr>
          <w:p w14:paraId="69F8B13E">
            <w:pPr>
              <w:jc w:val="left"/>
              <w:rPr>
                <w:color w:val="000000"/>
              </w:rPr>
            </w:pPr>
            <w:r>
              <w:rPr>
                <w:rFonts w:ascii="Times New Roman" w:hAnsi="Times New Roman" w:eastAsia="Times New Roman" w:cs="Times New Roman"/>
                <w:color w:val="000000"/>
                <w:sz w:val="21"/>
              </w:rPr>
              <w:t>0.735</w:t>
            </w:r>
          </w:p>
        </w:tc>
        <w:tc>
          <w:tcPr>
            <w:tcW w:w="1661" w:type="dxa"/>
            <w:tcBorders>
              <w:left w:val="none" w:sz="8"/>
              <w:right w:val="none" w:sz="8"/>
            </w:tcBorders>
            <w:tcMar>
              <w:top w:w="72" w:type="dxa"/>
              <w:left w:w="120" w:type="dxa"/>
              <w:bottom w:w="72" w:type="dxa"/>
              <w:right w:w="120" w:type="dxa"/>
            </w:tcMar>
            <w:vAlign w:val="center"/>
          </w:tcPr>
          <w:p w14:paraId="5A69EEA1">
            <w:pPr>
              <w:jc w:val="left"/>
              <w:rPr>
                <w:color w:val="000000"/>
              </w:rPr>
            </w:pPr>
            <w:r>
              <w:rPr>
                <w:rFonts w:ascii="Times New Roman" w:hAnsi="Times New Roman" w:eastAsia="Times New Roman" w:cs="Times New Roman"/>
                <w:color w:val="000000"/>
                <w:sz w:val="21"/>
              </w:rPr>
              <w:t>0.538</w:t>
            </w:r>
          </w:p>
        </w:tc>
        <w:tc>
          <w:tcPr>
            <w:tcW w:w="1661" w:type="dxa"/>
            <w:tcBorders>
              <w:left w:val="none" w:sz="8"/>
              <w:right w:val="none" w:sz="8"/>
            </w:tcBorders>
            <w:tcMar>
              <w:top w:w="72" w:type="dxa"/>
              <w:left w:w="120" w:type="dxa"/>
              <w:bottom w:w="72" w:type="dxa"/>
              <w:right w:w="120" w:type="dxa"/>
            </w:tcMar>
            <w:vAlign w:val="center"/>
          </w:tcPr>
          <w:p w14:paraId="36E95654">
            <w:pPr>
              <w:jc w:val="left"/>
              <w:rPr>
                <w:color w:val="000000"/>
              </w:rPr>
            </w:pPr>
            <w:r>
              <w:rPr>
                <w:rFonts w:ascii="Times New Roman" w:hAnsi="Times New Roman" w:eastAsia="Times New Roman" w:cs="Times New Roman"/>
                <w:color w:val="000000"/>
                <w:sz w:val="21"/>
              </w:rPr>
              <w:t>0.366</w:t>
            </w:r>
          </w:p>
        </w:tc>
        <w:tc>
          <w:tcPr>
            <w:tcW w:w="1661" w:type="dxa"/>
            <w:tcBorders>
              <w:left w:val="none" w:sz="8"/>
              <w:right w:val="none" w:sz="8"/>
            </w:tcBorders>
            <w:tcMar>
              <w:top w:w="72" w:type="dxa"/>
              <w:left w:w="120" w:type="dxa"/>
              <w:bottom w:w="72" w:type="dxa"/>
              <w:right w:w="120" w:type="dxa"/>
            </w:tcMar>
            <w:vAlign w:val="center"/>
          </w:tcPr>
          <w:p w14:paraId="6358BFF6">
            <w:pPr>
              <w:jc w:val="left"/>
              <w:rPr>
                <w:color w:val="000000"/>
              </w:rPr>
            </w:pPr>
            <w:r>
              <w:rPr>
                <w:rFonts w:ascii="Times New Roman" w:hAnsi="Times New Roman" w:eastAsia="Times New Roman" w:cs="Times New Roman"/>
                <w:color w:val="000000"/>
                <w:sz w:val="21"/>
              </w:rPr>
              <w:t>0.121</w:t>
            </w:r>
          </w:p>
        </w:tc>
      </w:tr>
      <w:tr>
        <w:trPr/>
        <w:tc>
          <w:tcPr>
            <w:tcW w:w="1661" w:type="dxa"/>
            <w:tcBorders>
              <w:left w:val="none" w:sz="8"/>
              <w:right w:val="none" w:sz="8"/>
            </w:tcBorders>
            <w:tcMar>
              <w:top w:w="72" w:type="dxa"/>
              <w:left w:w="120" w:type="dxa"/>
              <w:bottom w:w="72" w:type="dxa"/>
              <w:right w:w="120" w:type="dxa"/>
            </w:tcMar>
            <w:vAlign w:val="center"/>
          </w:tcPr>
          <w:p w14:paraId="52B9DD21">
            <w:pPr>
              <w:jc w:val="left"/>
              <w:rPr>
                <w:color w:val="000000"/>
              </w:rPr>
            </w:pPr>
            <w:r>
              <w:rPr>
                <w:rFonts w:ascii="Times New Roman" w:hAnsi="Times New Roman" w:eastAsia="Times New Roman" w:cs="Times New Roman"/>
                <w:color w:val="000000"/>
                <w:sz w:val="21"/>
              </w:rPr>
              <w:t>Sequence only (ESM + MLP)</w:t>
            </w:r>
          </w:p>
        </w:tc>
        <w:tc>
          <w:tcPr>
            <w:tcW w:w="1661" w:type="dxa"/>
            <w:tcBorders>
              <w:left w:val="none" w:sz="8"/>
              <w:right w:val="none" w:sz="8"/>
            </w:tcBorders>
            <w:tcMar>
              <w:top w:w="72" w:type="dxa"/>
              <w:left w:w="120" w:type="dxa"/>
              <w:bottom w:w="72" w:type="dxa"/>
              <w:right w:w="120" w:type="dxa"/>
            </w:tcMar>
            <w:vAlign w:val="center"/>
          </w:tcPr>
          <w:p w14:paraId="0E397594">
            <w:pPr>
              <w:jc w:val="left"/>
              <w:rPr>
                <w:color w:val="000000"/>
              </w:rPr>
            </w:pPr>
            <w:r>
              <w:rPr>
                <w:rFonts w:ascii="Times New Roman" w:hAnsi="Times New Roman" w:eastAsia="Times New Roman" w:cs="Times New Roman"/>
                <w:color w:val="000000"/>
                <w:sz w:val="21"/>
              </w:rPr>
              <w:t>0.637</w:t>
            </w:r>
          </w:p>
        </w:tc>
        <w:tc>
          <w:tcPr>
            <w:tcW w:w="1661" w:type="dxa"/>
            <w:tcBorders>
              <w:left w:val="none" w:sz="8"/>
              <w:right w:val="none" w:sz="8"/>
            </w:tcBorders>
            <w:tcMar>
              <w:top w:w="72" w:type="dxa"/>
              <w:left w:w="120" w:type="dxa"/>
              <w:bottom w:w="72" w:type="dxa"/>
              <w:right w:w="120" w:type="dxa"/>
            </w:tcMar>
            <w:vAlign w:val="center"/>
          </w:tcPr>
          <w:p w14:paraId="7DA8AA0A">
            <w:pPr>
              <w:jc w:val="left"/>
              <w:rPr>
                <w:color w:val="000000"/>
              </w:rPr>
            </w:pPr>
            <w:r>
              <w:rPr>
                <w:rFonts w:ascii="Times New Roman" w:hAnsi="Times New Roman" w:eastAsia="Times New Roman" w:cs="Times New Roman"/>
                <w:color w:val="000000"/>
                <w:sz w:val="21"/>
              </w:rPr>
              <w:t>0.401</w:t>
            </w:r>
          </w:p>
        </w:tc>
        <w:tc>
          <w:tcPr>
            <w:tcW w:w="1661" w:type="dxa"/>
            <w:tcBorders>
              <w:left w:val="none" w:sz="8"/>
              <w:right w:val="none" w:sz="8"/>
            </w:tcBorders>
            <w:tcMar>
              <w:top w:w="72" w:type="dxa"/>
              <w:left w:w="120" w:type="dxa"/>
              <w:bottom w:w="72" w:type="dxa"/>
              <w:right w:w="120" w:type="dxa"/>
            </w:tcMar>
            <w:vAlign w:val="center"/>
          </w:tcPr>
          <w:p w14:paraId="2927AAFF">
            <w:pPr>
              <w:jc w:val="left"/>
              <w:rPr>
                <w:color w:val="000000"/>
              </w:rPr>
            </w:pPr>
            <w:r>
              <w:rPr>
                <w:rFonts w:ascii="Times New Roman" w:hAnsi="Times New Roman" w:eastAsia="Times New Roman" w:cs="Times New Roman"/>
                <w:color w:val="000000"/>
                <w:sz w:val="21"/>
              </w:rPr>
              <w:t>0.419</w:t>
            </w:r>
          </w:p>
        </w:tc>
        <w:tc>
          <w:tcPr>
            <w:tcW w:w="1661" w:type="dxa"/>
            <w:tcBorders>
              <w:left w:val="none" w:sz="8"/>
              <w:right w:val="none" w:sz="8"/>
            </w:tcBorders>
            <w:tcMar>
              <w:top w:w="72" w:type="dxa"/>
              <w:left w:w="120" w:type="dxa"/>
              <w:bottom w:w="72" w:type="dxa"/>
              <w:right w:w="120" w:type="dxa"/>
            </w:tcMar>
            <w:vAlign w:val="center"/>
          </w:tcPr>
          <w:p w14:paraId="04DF7B0C">
            <w:pPr>
              <w:jc w:val="left"/>
              <w:rPr>
                <w:color w:val="000000"/>
              </w:rPr>
            </w:pPr>
            <w:r>
              <w:rPr>
                <w:rFonts w:ascii="Times New Roman" w:hAnsi="Times New Roman" w:eastAsia="Times New Roman" w:cs="Times New Roman"/>
                <w:color w:val="000000"/>
                <w:sz w:val="21"/>
              </w:rPr>
              <w:t>0.171</w:t>
            </w:r>
          </w:p>
        </w:tc>
      </w:tr>
      <w:tr>
        <w:trPr/>
        <w:tc>
          <w:tcPr>
            <w:tcW w:w="1661" w:type="dxa"/>
            <w:tcBorders>
              <w:left w:val="none" w:sz="8"/>
              <w:bottom w:val="single" w:color="000000" w:sz="12"/>
              <w:right w:val="none" w:sz="8"/>
            </w:tcBorders>
            <w:tcMar>
              <w:top w:w="72" w:type="dxa"/>
              <w:left w:w="120" w:type="dxa"/>
              <w:bottom w:w="72" w:type="dxa"/>
              <w:right w:w="120" w:type="dxa"/>
            </w:tcMar>
            <w:vAlign w:val="center"/>
          </w:tcPr>
          <w:p w14:paraId="226BBA43">
            <w:pPr>
              <w:jc w:val="left"/>
              <w:rPr>
                <w:color w:val="000000"/>
              </w:rPr>
            </w:pPr>
            <w:r>
              <w:rPr>
                <w:rFonts w:ascii="Times New Roman" w:hAnsi="Times New Roman" w:eastAsia="Times New Roman" w:cs="Times New Roman"/>
                <w:color w:val="000000"/>
                <w:sz w:val="21"/>
              </w:rPr>
              <w:t>Substrate only (fingerprint MLP)</w:t>
            </w:r>
          </w:p>
        </w:tc>
        <w:tc>
          <w:tcPr>
            <w:tcW w:w="1661" w:type="dxa"/>
            <w:tcBorders>
              <w:left w:val="none" w:sz="8"/>
              <w:bottom w:val="single" w:color="000000" w:sz="12"/>
              <w:right w:val="none" w:sz="8"/>
            </w:tcBorders>
            <w:tcMar>
              <w:top w:w="72" w:type="dxa"/>
              <w:left w:w="120" w:type="dxa"/>
              <w:bottom w:w="72" w:type="dxa"/>
              <w:right w:w="120" w:type="dxa"/>
            </w:tcMar>
            <w:vAlign w:val="center"/>
          </w:tcPr>
          <w:p w14:paraId="11EB65F4">
            <w:pPr>
              <w:jc w:val="left"/>
              <w:rPr>
                <w:color w:val="000000"/>
              </w:rPr>
            </w:pPr>
            <w:r>
              <w:rPr>
                <w:rFonts w:ascii="Times New Roman" w:hAnsi="Times New Roman" w:eastAsia="Times New Roman" w:cs="Times New Roman"/>
                <w:color w:val="000000"/>
                <w:sz w:val="21"/>
              </w:rPr>
              <w:t>0.477</w:t>
            </w:r>
          </w:p>
        </w:tc>
        <w:tc>
          <w:tcPr>
            <w:tcW w:w="1661" w:type="dxa"/>
            <w:tcBorders>
              <w:left w:val="none" w:sz="8"/>
              <w:bottom w:val="single" w:color="000000" w:sz="12"/>
              <w:right w:val="none" w:sz="8"/>
            </w:tcBorders>
            <w:tcMar>
              <w:top w:w="72" w:type="dxa"/>
              <w:left w:w="120" w:type="dxa"/>
              <w:bottom w:w="72" w:type="dxa"/>
              <w:right w:w="120" w:type="dxa"/>
            </w:tcMar>
            <w:vAlign w:val="center"/>
          </w:tcPr>
          <w:p w14:paraId="4D58ED5A">
            <w:pPr>
              <w:jc w:val="left"/>
              <w:rPr>
                <w:color w:val="000000"/>
              </w:rPr>
            </w:pPr>
            <w:r>
              <w:rPr>
                <w:rFonts w:ascii="Times New Roman" w:hAnsi="Times New Roman" w:eastAsia="Times New Roman" w:cs="Times New Roman"/>
                <w:color w:val="000000"/>
                <w:sz w:val="21"/>
              </w:rPr>
              <w:t>0.216</w:t>
            </w:r>
          </w:p>
        </w:tc>
        <w:tc>
          <w:tcPr>
            <w:tcW w:w="1661" w:type="dxa"/>
            <w:tcBorders>
              <w:left w:val="none" w:sz="8"/>
              <w:bottom w:val="single" w:color="000000" w:sz="12"/>
              <w:right w:val="none" w:sz="8"/>
            </w:tcBorders>
            <w:tcMar>
              <w:top w:w="72" w:type="dxa"/>
              <w:left w:w="120" w:type="dxa"/>
              <w:bottom w:w="72" w:type="dxa"/>
              <w:right w:w="120" w:type="dxa"/>
            </w:tcMar>
            <w:vAlign w:val="center"/>
          </w:tcPr>
          <w:p w14:paraId="38D9A4A1">
            <w:pPr>
              <w:jc w:val="left"/>
              <w:rPr>
                <w:color w:val="000000"/>
              </w:rPr>
            </w:pPr>
            <w:r>
              <w:rPr>
                <w:rFonts w:ascii="Times New Roman" w:hAnsi="Times New Roman" w:eastAsia="Times New Roman" w:cs="Times New Roman"/>
                <w:color w:val="000000"/>
                <w:sz w:val="21"/>
              </w:rPr>
              <w:t>0.338</w:t>
            </w:r>
          </w:p>
        </w:tc>
        <w:tc>
          <w:tcPr>
            <w:tcW w:w="1661" w:type="dxa"/>
            <w:tcBorders>
              <w:left w:val="none" w:sz="8"/>
              <w:bottom w:val="single" w:color="000000" w:sz="12"/>
              <w:right w:val="none" w:sz="8"/>
            </w:tcBorders>
            <w:tcMar>
              <w:top w:w="72" w:type="dxa"/>
              <w:left w:w="120" w:type="dxa"/>
              <w:bottom w:w="72" w:type="dxa"/>
              <w:right w:w="120" w:type="dxa"/>
            </w:tcMar>
            <w:vAlign w:val="center"/>
          </w:tcPr>
          <w:p w14:paraId="14295C3C">
            <w:pPr>
              <w:jc w:val="left"/>
              <w:rPr>
                <w:color w:val="000000"/>
              </w:rPr>
            </w:pPr>
            <w:r>
              <w:rPr>
                <w:rFonts w:ascii="Times New Roman" w:hAnsi="Times New Roman" w:eastAsia="Times New Roman" w:cs="Times New Roman"/>
                <w:color w:val="000000"/>
                <w:sz w:val="21"/>
              </w:rPr>
              <w:t>0.094</w:t>
            </w:r>
          </w:p>
        </w:tc>
      </w:tr>
    </w:tbl>
    <w:p w14:paraId="5F0D5C2C">
      <w:r>
        <w:rPr>
          <w:rFonts w:hint="eastAsia"/>
          <w:color w:val="888888"/>
          <w:sz w:val="18"/>
        </w:rPr>
        <w:t>[图片: images/fig_scatter.png]</w:t>
      </w:r>
    </w:p>
    <w:p w14:paraId="43837F56">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color w:val="555555"/>
          <w:sz w:val="21"/>
        </w:rPr>
        <w:t>Fig. 1. Predicted versus measured log10(kcat) on the held-out test set (CarotKcat-ensemble, random split).</w:t>
      </w:r>
      <w:r>
        <w:rPr>
          <w:rFonts w:ascii="Times New Roman" w:hAnsi="Times New Roman" w:eastAsia="Times New Roman" w:cs="Times New Roman"/>
          <w:b w:val="1"/>
          <w:color w:val="000000"/>
          <w:sz w:val="24"/>
        </w:rPr>
        <w:t>3.3 Ablation</w:t>
      </w:r>
    </w:p>
    <w:p w14:paraId="1DE980BC">
      <w:pPr>
        <w:spacing w:after="192" w:line="360"/>
        <w:ind w:firstLine="480"/>
        <w:rPr>
          <w:color w:val="000000"/>
        </w:rPr>
      </w:pPr>
      <w:r>
        <w:rPr>
          <w:rFonts w:ascii="Times New Roman" w:hAnsi="Times New Roman" w:eastAsia="Times New Roman" w:cs="Times New Roman"/>
          <w:color w:val="000000"/>
          <w:sz w:val="24"/>
        </w:rPr>
        <w:t>Removing the substrate input reduced group-split performance to r = 0.419 (sequence-only), while removing the sequence reduced it to r = 0.338; the full dual-tower model outperformed both ablations (Table 1). The 10× oversampling of carotenoid-related records was retained for all reported carotenoid analyses.</w:t>
      </w:r>
    </w:p>
    <w:p w14:paraId="6FFD11F2">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3.4 Held-out case study of carotenoid enzymes</w:t>
      </w:r>
    </w:p>
    <w:p w14:paraId="45831CF6">
      <w:pPr>
        <w:spacing w:after="192" w:line="360"/>
        <w:ind w:firstLine="480"/>
        <w:rPr>
          <w:color w:val="000000"/>
        </w:rPr>
      </w:pPr>
      <w:r>
        <w:rPr>
          <w:rFonts w:ascii="Times New Roman" w:hAnsi="Times New Roman" w:eastAsia="Times New Roman" w:cs="Times New Roman"/>
          <w:color w:val="000000"/>
          <w:sz w:val="24"/>
        </w:rPr>
        <w:t>We curated 13 literature-reported kinetic measurements covering 11 carotenoid-pathway enzymes, none present in the training set (Table 2; Fig. 2).</w:t>
      </w:r>
    </w:p>
    <w:p w14:paraId="7F54F8B3">
      <w:pPr>
        <w:spacing w:after="192" w:line="360"/>
        <w:ind w:firstLine="480"/>
        <w:rPr>
          <w:color w:val="000000"/>
        </w:rPr>
      </w:pPr>
      <w:r>
        <w:rPr>
          <w:rFonts w:ascii="Times New Roman" w:hAnsi="Times New Roman" w:eastAsia="Times New Roman" w:cs="Times New Roman"/>
          <w:b w:val="1"/>
          <w:color w:val="000000"/>
          <w:sz w:val="24"/>
        </w:rPr>
        <w:t>Pathway-level hierarchy (ρ = 0.60).</w:t>
      </w:r>
      <w:r>
        <w:rPr>
          <w:rFonts w:ascii="Times New Roman" w:hAnsi="Times New Roman" w:eastAsia="Times New Roman" w:cs="Times New Roman"/>
          <w:color w:val="000000"/>
          <w:sz w:val="24"/>
        </w:rPr>
        <w:t xml:space="preserve"> CarotKcat correctly reproduced the experimentally established rate-limiting order of the lycopene pathway: CrtB (14 s</w:t>
      </w:r>
      <w:r>
        <w:rPr>
          <w:vertAlign w:val="superscript"/>
        </w:rPr>
        <w:t>-1</w:t>
      </w:r>
      <w:r>
        <w:rPr>
          <w:rFonts w:ascii="Times New Roman" w:hAnsi="Times New Roman" w:eastAsia="Times New Roman" w:cs="Times New Roman"/>
          <w:color w:val="000000"/>
          <w:sz w:val="24"/>
        </w:rPr>
        <w:t xml:space="preserve"> in vitro; 6 s</w:t>
      </w:r>
      <w:r>
        <w:rPr>
          <w:vertAlign w:val="superscript"/>
        </w:rPr>
        <w:t>-1</w:t>
      </w:r>
      <w:r>
        <w:rPr>
          <w:rFonts w:ascii="Times New Roman" w:hAnsi="Times New Roman" w:eastAsia="Times New Roman" w:cs="Times New Roman"/>
          <w:color w:val="000000"/>
          <w:sz w:val="24"/>
        </w:rPr>
        <w:t xml:space="preserve"> in vivo) &gt; CrtE (0.8 s</w:t>
      </w:r>
      <w:r>
        <w:rPr>
          <w:vertAlign w:val="superscript"/>
        </w:rPr>
        <w:t>-1</w:t>
      </w:r>
      <w:r>
        <w:rPr>
          <w:rFonts w:ascii="Times New Roman" w:hAnsi="Times New Roman" w:eastAsia="Times New Roman" w:cs="Times New Roman"/>
          <w:color w:val="000000"/>
          <w:sz w:val="24"/>
        </w:rPr>
        <w:t>) &gt; CrtI (0.03–0.1 s</w:t>
      </w:r>
      <w:r>
        <w:rPr>
          <w:vertAlign w:val="superscript"/>
        </w:rPr>
        <w:t>-1</w:t>
      </w:r>
      <w:r>
        <w:rPr>
          <w:rFonts w:ascii="Times New Roman" w:hAnsi="Times New Roman" w:eastAsia="Times New Roman" w:cs="Times New Roman"/>
          <w:color w:val="000000"/>
          <w:sz w:val="24"/>
        </w:rPr>
        <w:t>) — the ordering that drives bottleneck analyses in metabolic engineering.</w:t>
      </w:r>
    </w:p>
    <w:p w14:paraId="034A02C9">
      <w:pPr>
        <w:spacing w:after="192" w:line="360"/>
        <w:ind w:firstLine="480"/>
        <w:rPr>
          <w:color w:val="000000"/>
        </w:rPr>
      </w:pPr>
      <w:r>
        <w:rPr>
          <w:rFonts w:ascii="Times New Roman" w:hAnsi="Times New Roman" w:eastAsia="Times New Roman" w:cs="Times New Roman"/>
          <w:b w:val="1"/>
          <w:color w:val="000000"/>
          <w:sz w:val="24"/>
        </w:rPr>
        <w:t>GGPP synthase family (ρ = 0.50).</w:t>
      </w:r>
      <w:r>
        <w:rPr>
          <w:rFonts w:ascii="Times New Roman" w:hAnsi="Times New Roman" w:eastAsia="Times New Roman" w:cs="Times New Roman"/>
          <w:color w:val="000000"/>
          <w:sz w:val="24"/>
        </w:rPr>
        <w:t xml:space="preserve"> The kcat of yeast BTS1 was predicted quantitatively (0.036 predicted vs 0.025 s</w:t>
      </w:r>
      <w:r>
        <w:rPr>
          <w:vertAlign w:val="superscript"/>
        </w:rPr>
        <w:t>-1</w:t>
      </w:r>
      <w:r>
        <w:rPr>
          <w:rFonts w:ascii="Times New Roman" w:hAnsi="Times New Roman" w:eastAsia="Times New Roman" w:cs="Times New Roman"/>
          <w:color w:val="000000"/>
          <w:sz w:val="24"/>
        </w:rPr>
        <w:t xml:space="preserve"> measured); the human (0.204 s</w:t>
      </w:r>
      <w:r>
        <w:rPr>
          <w:vertAlign w:val="superscript"/>
        </w:rPr>
        <w:t>-1</w:t>
      </w:r>
      <w:r>
        <w:rPr>
          <w:rFonts w:ascii="Times New Roman" w:hAnsi="Times New Roman" w:eastAsia="Times New Roman" w:cs="Times New Roman"/>
          <w:color w:val="000000"/>
          <w:sz w:val="24"/>
        </w:rPr>
        <w:t>) and Pantoea CrtE (0.8 s</w:t>
      </w:r>
      <w:r>
        <w:rPr>
          <w:vertAlign w:val="superscript"/>
        </w:rPr>
        <w:t>-1</w:t>
      </w:r>
      <w:r>
        <w:rPr>
          <w:rFonts w:ascii="Times New Roman" w:hAnsi="Times New Roman" w:eastAsia="Times New Roman" w:cs="Times New Roman"/>
          <w:color w:val="000000"/>
          <w:sz w:val="24"/>
        </w:rPr>
        <w:t>) values were ranked correctly.</w:t>
      </w:r>
    </w:p>
    <w:p w14:paraId="70BA1F1E">
      <w:pPr>
        <w:spacing w:after="192" w:line="360"/>
        <w:ind w:firstLine="480"/>
        <w:rPr>
          <w:color w:val="000000"/>
        </w:rPr>
      </w:pPr>
      <w:r>
        <w:rPr>
          <w:rFonts w:ascii="Times New Roman" w:hAnsi="Times New Roman" w:eastAsia="Times New Roman" w:cs="Times New Roman"/>
          <w:b w:val="1"/>
          <w:color w:val="000000"/>
          <w:sz w:val="24"/>
        </w:rPr>
        <w:t>Substrate selectivity.</w:t>
      </w:r>
      <w:r>
        <w:rPr>
          <w:rFonts w:ascii="Times New Roman" w:hAnsi="Times New Roman" w:eastAsia="Times New Roman" w:cs="Times New Roman"/>
          <w:color w:val="000000"/>
          <w:sz w:val="24"/>
        </w:rPr>
        <w:t xml:space="preserve"> For P. ananatis CrtZ, the model predicted higher activity on β-carotene than on canthaxanthin (2.8-fold), matching the direction of the measured 6.2-fold preference.</w:t>
      </w:r>
    </w:p>
    <w:p w14:paraId="5B85CE93">
      <w:pPr>
        <w:spacing w:after="192" w:line="360"/>
        <w:ind w:firstLine="480"/>
        <w:rPr>
          <w:color w:val="000000"/>
        </w:rPr>
      </w:pPr>
      <w:r>
        <w:rPr>
          <w:rFonts w:ascii="Times New Roman" w:hAnsi="Times New Roman" w:eastAsia="Times New Roman" w:cs="Times New Roman"/>
          <w:b w:val="1"/>
          <w:color w:val="000000"/>
          <w:sz w:val="24"/>
        </w:rPr>
        <w:t>Quantitative error.</w:t>
      </w:r>
      <w:r>
        <w:rPr>
          <w:rFonts w:ascii="Times New Roman" w:hAnsi="Times New Roman" w:eastAsia="Times New Roman" w:cs="Times New Roman"/>
          <w:color w:val="000000"/>
          <w:sz w:val="24"/>
        </w:rPr>
        <w:t xml:space="preserve"> Across all 13 case points, 85% of predictions fell within ±10-fold of the literature value (median fold-error 6.5×). For reference, reported kcat values for the same enzyme (P. ananatis CrtI) span &gt;1,000-fold across laboratories (8×10</w:t>
      </w:r>
      <w:r>
        <w:rPr>
          <w:vertAlign w:val="superscript"/>
        </w:rPr>
        <w:t>-5</w:t>
      </w:r>
      <w:r>
        <w:rPr>
          <w:rFonts w:ascii="Times New Roman" w:hAnsi="Times New Roman" w:eastAsia="Times New Roman" w:cs="Times New Roman"/>
          <w:color w:val="000000"/>
          <w:sz w:val="24"/>
        </w:rPr>
        <w:t xml:space="preserve"> to 0.25 s</w:t>
      </w:r>
      <w:r>
        <w:rPr>
          <w:vertAlign w:val="superscript"/>
        </w:rPr>
        <w:t>-1</w:t>
      </w:r>
      <w:r>
        <w:rPr>
          <w:rFonts w:ascii="Times New Roman" w:hAnsi="Times New Roman" w:eastAsia="Times New Roman" w:cs="Times New Roman"/>
          <w:color w:val="000000"/>
          <w:sz w:val="24"/>
        </w:rPr>
        <w:t>), indicating that literature dispersion is of the same order as model error for this pathway.</w:t>
      </w:r>
    </w:p>
    <w:p w14:paraId="755792CB">
      <w:pPr>
        <w:spacing w:after="192" w:line="360"/>
        <w:ind w:firstLine="480"/>
        <w:rPr>
          <w:color w:val="000000"/>
        </w:rPr>
      </w:pPr>
      <w:r>
        <w:rPr>
          <w:rFonts w:ascii="Times New Roman" w:hAnsi="Times New Roman" w:eastAsia="Times New Roman" w:cs="Times New Roman"/>
          <w:color w:val="000000"/>
          <w:sz w:val="24"/>
        </w:rPr>
        <w:t>Two honest limitations emerged. First, four of the five CrtI literature values sit at the upper constraint boundary (0.1 s</w:t>
      </w:r>
      <w:r>
        <w:rPr>
          <w:vertAlign w:val="superscript"/>
        </w:rPr>
        <w:t>-1</w:t>
      </w:r>
      <w:r>
        <w:rPr>
          <w:rFonts w:ascii="Times New Roman" w:hAnsi="Times New Roman" w:eastAsia="Times New Roman" w:cs="Times New Roman"/>
          <w:color w:val="000000"/>
          <w:sz w:val="24"/>
        </w:rPr>
        <w:t>) of the original COPASI fit and therefore represent only lower bounds; the model's predictions for these enzymes (0.65–0.85 s</w:t>
      </w:r>
      <w:r>
        <w:rPr>
          <w:vertAlign w:val="superscript"/>
        </w:rPr>
        <w:t>-1</w:t>
      </w:r>
      <w:r>
        <w:rPr>
          <w:rFonts w:ascii="Times New Roman" w:hAnsi="Times New Roman" w:eastAsia="Times New Roman" w:cs="Times New Roman"/>
          <w:color w:val="000000"/>
          <w:sz w:val="24"/>
        </w:rPr>
        <w:t>) are consistent with those bounds, but the slowest desaturase (R. capsulatus CrtI, 0.003 s</w:t>
      </w:r>
      <w:r>
        <w:rPr>
          <w:vertAlign w:val="superscript"/>
        </w:rPr>
        <w:t>-1</w:t>
      </w:r>
      <w:r>
        <w:rPr>
          <w:rFonts w:ascii="Times New Roman" w:hAnsi="Times New Roman" w:eastAsia="Times New Roman" w:cs="Times New Roman"/>
          <w:color w:val="000000"/>
          <w:sz w:val="24"/>
        </w:rPr>
        <w:t>) was not ranked lowest.</w:t>
      </w:r>
    </w:p>
    <w:p w14:paraId="485CA4A5">
      <w:pPr>
        <w:spacing w:after="192" w:line="360"/>
        <w:ind w:firstLine="480"/>
        <w:rPr>
          <w:color w:val="000000"/>
        </w:rPr>
      </w:pPr>
      <w:r>
        <w:rPr>
          <w:rFonts w:ascii="Times New Roman" w:hAnsi="Times New Roman" w:eastAsia="Times New Roman" w:cs="Times New Roman"/>
          <w:color w:val="000000"/>
          <w:sz w:val="24"/>
        </w:rPr>
        <w:t>Second, the phytoene-desaturation intermediates phytofluene, ζ-carotene and neurosporene yield bit-identical Morgan fingerprints (verified computationally), so the fingerprint-based model cannot distinguish them, and per-step substrate series could not be resolved.</w:t>
      </w:r>
    </w:p>
    <w:p w14:paraId="37D86CE7">
      <w:pPr>
        <w:jc w:val="center"/>
      </w:pPr>
      <w:r>
        <w:rPr>
          <w:color w:val="888888"/>
          <w:sz w:val="18"/>
        </w:rPr>
        <w:t>Table 2. Literature case study: measured versus predicted kcat for carotenoid-pathway enzymes (all absent from the training set).</w:t>
      </w:r>
    </w:p>
    <w:tbl>
      <w:tblPr>
        <w:tblW w:w="8306" w:type="dxa"/>
        <w:shd w:color="000000"/>
        <w:tblLayout w:type="autofit"/>
        <w:tblCellMar/>
      </w:tblPr>
      <w:tblGrid>
        <w:gridCol w:w="1384"/>
        <w:gridCol w:w="1384"/>
        <w:gridCol w:w="1384"/>
        <w:gridCol w:w="1384"/>
        <w:gridCol w:w="1384"/>
        <w:gridCol w:w="1384"/>
      </w:tblGrid>
      <w:tr>
        <w:trPr>
          <w:tblHeader w:val="1"/>
        </w:trPr>
        <w:tc>
          <w:tcPr>
            <w:tcW w:w="1384"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01A10953">
            <w:pPr>
              <w:jc w:val="left"/>
              <w:rPr>
                <w:b w:val="1"/>
                <w:bCs w:val="1"/>
                <w:color w:val="000000"/>
              </w:rPr>
            </w:pPr>
            <w:r>
              <w:rPr>
                <w:rFonts w:ascii="Times New Roman" w:hAnsi="Times New Roman" w:eastAsia="Times New Roman" w:cs="Times New Roman"/>
                <w:b w:val="1"/>
                <w:color w:val="000000"/>
                <w:sz w:val="21"/>
              </w:rPr>
              <w:t>Enzyme</w:t>
            </w:r>
          </w:p>
        </w:tc>
        <w:tc>
          <w:tcPr>
            <w:tcW w:w="1384"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31D4F1DF">
            <w:pPr>
              <w:jc w:val="left"/>
              <w:rPr>
                <w:b w:val="1"/>
                <w:bCs w:val="1"/>
                <w:color w:val="000000"/>
              </w:rPr>
            </w:pPr>
            <w:r>
              <w:rPr>
                <w:rFonts w:ascii="Times New Roman" w:hAnsi="Times New Roman" w:eastAsia="Times New Roman" w:cs="Times New Roman"/>
                <w:b w:val="1"/>
                <w:color w:val="000000"/>
                <w:sz w:val="21"/>
              </w:rPr>
              <w:t>UniProt</w:t>
            </w:r>
          </w:p>
        </w:tc>
        <w:tc>
          <w:tcPr>
            <w:tcW w:w="1384"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65BFEEB5">
            <w:pPr>
              <w:jc w:val="left"/>
              <w:rPr>
                <w:b w:val="1"/>
                <w:bCs w:val="1"/>
                <w:color w:val="000000"/>
              </w:rPr>
            </w:pPr>
            <w:r>
              <w:rPr>
                <w:rFonts w:ascii="Times New Roman" w:hAnsi="Times New Roman" w:eastAsia="Times New Roman" w:cs="Times New Roman"/>
                <w:b w:val="1"/>
                <w:color w:val="000000"/>
                <w:sz w:val="21"/>
              </w:rPr>
              <w:t>Substrate</w:t>
            </w:r>
          </w:p>
        </w:tc>
        <w:tc>
          <w:tcPr>
            <w:tcW w:w="1384"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2CAA3610">
            <w:pPr>
              <w:jc w:val="left"/>
              <w:rPr>
                <w:b w:val="1"/>
                <w:bCs w:val="1"/>
                <w:color w:val="000000"/>
              </w:rPr>
            </w:pPr>
            <w:r>
              <w:rPr>
                <w:rFonts w:ascii="Times New Roman" w:hAnsi="Times New Roman" w:eastAsia="Times New Roman" w:cs="Times New Roman"/>
                <w:b w:val="1"/>
                <w:color w:val="000000"/>
                <w:sz w:val="21"/>
              </w:rPr>
              <w:t>Literature kcat (s</w:t>
            </w:r>
            <w:r>
              <w:rPr>
                <w:vertAlign w:val="superscript"/>
              </w:rPr>
              <w:t>-1</w:t>
            </w:r>
            <w:r>
              <w:rPr>
                <w:rFonts w:ascii="Times New Roman" w:hAnsi="Times New Roman" w:eastAsia="Times New Roman" w:cs="Times New Roman"/>
                <w:b w:val="1"/>
                <w:color w:val="000000"/>
                <w:sz w:val="21"/>
              </w:rPr>
              <w:t>)</w:t>
            </w:r>
          </w:p>
        </w:tc>
        <w:tc>
          <w:tcPr>
            <w:tcW w:w="1384"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55D3B572">
            <w:pPr>
              <w:jc w:val="left"/>
              <w:rPr>
                <w:b w:val="1"/>
                <w:bCs w:val="1"/>
                <w:color w:val="000000"/>
              </w:rPr>
            </w:pPr>
            <w:r>
              <w:rPr>
                <w:rFonts w:ascii="Times New Roman" w:hAnsi="Times New Roman" w:eastAsia="Times New Roman" w:cs="Times New Roman"/>
                <w:b w:val="1"/>
                <w:color w:val="000000"/>
                <w:sz w:val="21"/>
              </w:rPr>
              <w:t>Predicted kcat (s</w:t>
            </w:r>
            <w:r>
              <w:rPr>
                <w:vertAlign w:val="superscript"/>
              </w:rPr>
              <w:t>-1</w:t>
            </w:r>
            <w:r>
              <w:rPr>
                <w:rFonts w:ascii="Times New Roman" w:hAnsi="Times New Roman" w:eastAsia="Times New Roman" w:cs="Times New Roman"/>
                <w:b w:val="1"/>
                <w:color w:val="000000"/>
                <w:sz w:val="21"/>
              </w:rPr>
              <w:t>)</w:t>
            </w:r>
          </w:p>
        </w:tc>
        <w:tc>
          <w:tcPr>
            <w:tcW w:w="1384" w:type="dxa"/>
            <w:tcBorders>
              <w:top w:val="single" w:color="000000" w:sz="12"/>
              <w:left w:val="none" w:sz="8"/>
              <w:bottom w:val="single" w:color="000000" w:sz="6"/>
              <w:right w:val="none" w:sz="8"/>
            </w:tcBorders>
            <w:shd w:val="clear" w:fill="auto"/>
            <w:tcMar>
              <w:top w:w="72" w:type="dxa"/>
              <w:left w:w="120" w:type="dxa"/>
              <w:bottom w:w="72" w:type="dxa"/>
              <w:right w:w="120" w:type="dxa"/>
            </w:tcMar>
            <w:vAlign w:val="center"/>
          </w:tcPr>
          <w:p w14:paraId="271CF1FE">
            <w:pPr>
              <w:jc w:val="left"/>
              <w:rPr>
                <w:b w:val="1"/>
                <w:bCs w:val="1"/>
                <w:color w:val="000000"/>
              </w:rPr>
            </w:pPr>
            <w:r>
              <w:rPr>
                <w:rFonts w:ascii="Times New Roman" w:hAnsi="Times New Roman" w:eastAsia="Times New Roman" w:cs="Times New Roman"/>
                <w:b w:val="1"/>
                <w:color w:val="000000"/>
                <w:sz w:val="21"/>
              </w:rPr>
              <w:t>Source</w:t>
            </w:r>
          </w:p>
        </w:tc>
      </w:tr>
      <w:tr>
        <w:trPr/>
        <w:tc>
          <w:tcPr>
            <w:tcW w:w="1384" w:type="dxa"/>
            <w:tcBorders>
              <w:left w:val="none" w:sz="8"/>
              <w:right w:val="none" w:sz="8"/>
            </w:tcBorders>
            <w:tcMar>
              <w:top w:w="72" w:type="dxa"/>
              <w:left w:w="120" w:type="dxa"/>
              <w:bottom w:w="72" w:type="dxa"/>
              <w:right w:w="120" w:type="dxa"/>
            </w:tcMar>
            <w:vAlign w:val="center"/>
          </w:tcPr>
          <w:p w14:paraId="224FCBEE">
            <w:pPr>
              <w:jc w:val="left"/>
              <w:rPr>
                <w:color w:val="000000"/>
              </w:rPr>
            </w:pPr>
            <w:r>
              <w:rPr>
                <w:rFonts w:ascii="Times New Roman" w:hAnsi="Times New Roman" w:eastAsia="Times New Roman" w:cs="Times New Roman"/>
                <w:color w:val="000000"/>
                <w:sz w:val="21"/>
              </w:rPr>
              <w:t>CrtB, P. agglomerans (in vitro)</w:t>
            </w:r>
          </w:p>
        </w:tc>
        <w:tc>
          <w:tcPr>
            <w:tcW w:w="1384" w:type="dxa"/>
            <w:tcBorders>
              <w:left w:val="none" w:sz="8"/>
              <w:right w:val="none" w:sz="8"/>
            </w:tcBorders>
            <w:tcMar>
              <w:top w:w="72" w:type="dxa"/>
              <w:left w:w="120" w:type="dxa"/>
              <w:bottom w:w="72" w:type="dxa"/>
              <w:right w:w="120" w:type="dxa"/>
            </w:tcMar>
            <w:vAlign w:val="center"/>
          </w:tcPr>
          <w:p w14:paraId="2C0CF262">
            <w:pPr>
              <w:jc w:val="left"/>
              <w:rPr>
                <w:color w:val="000000"/>
              </w:rPr>
            </w:pPr>
            <w:r>
              <w:rPr>
                <w:rFonts w:ascii="Times New Roman" w:hAnsi="Times New Roman" w:eastAsia="Times New Roman" w:cs="Times New Roman"/>
                <w:color w:val="000000"/>
                <w:sz w:val="21"/>
              </w:rPr>
              <w:t>D5KXJ0</w:t>
            </w:r>
          </w:p>
        </w:tc>
        <w:tc>
          <w:tcPr>
            <w:tcW w:w="1384" w:type="dxa"/>
            <w:tcBorders>
              <w:left w:val="none" w:sz="8"/>
              <w:right w:val="none" w:sz="8"/>
            </w:tcBorders>
            <w:tcMar>
              <w:top w:w="72" w:type="dxa"/>
              <w:left w:w="120" w:type="dxa"/>
              <w:bottom w:w="72" w:type="dxa"/>
              <w:right w:w="120" w:type="dxa"/>
            </w:tcMar>
            <w:vAlign w:val="center"/>
          </w:tcPr>
          <w:p w14:paraId="795D78E9">
            <w:pPr>
              <w:jc w:val="left"/>
              <w:rPr>
                <w:color w:val="000000"/>
              </w:rPr>
            </w:pPr>
            <w:r>
              <w:rPr>
                <w:rFonts w:ascii="Times New Roman" w:hAnsi="Times New Roman" w:eastAsia="Times New Roman" w:cs="Times New Roman"/>
                <w:color w:val="000000"/>
                <w:sz w:val="21"/>
              </w:rPr>
              <w:t>GGPP</w:t>
            </w:r>
          </w:p>
        </w:tc>
        <w:tc>
          <w:tcPr>
            <w:tcW w:w="1384" w:type="dxa"/>
            <w:tcBorders>
              <w:left w:val="none" w:sz="8"/>
              <w:right w:val="none" w:sz="8"/>
            </w:tcBorders>
            <w:tcMar>
              <w:top w:w="72" w:type="dxa"/>
              <w:left w:w="120" w:type="dxa"/>
              <w:bottom w:w="72" w:type="dxa"/>
              <w:right w:w="120" w:type="dxa"/>
            </w:tcMar>
            <w:vAlign w:val="center"/>
          </w:tcPr>
          <w:p w14:paraId="4239DA97">
            <w:pPr>
              <w:jc w:val="left"/>
              <w:rPr>
                <w:color w:val="000000"/>
              </w:rPr>
            </w:pPr>
            <w:r>
              <w:rPr>
                <w:rFonts w:ascii="Times New Roman" w:hAnsi="Times New Roman" w:eastAsia="Times New Roman" w:cs="Times New Roman"/>
                <w:color w:val="000000"/>
                <w:sz w:val="21"/>
              </w:rPr>
              <w:t>14</w:t>
            </w:r>
          </w:p>
        </w:tc>
        <w:tc>
          <w:tcPr>
            <w:tcW w:w="1384" w:type="dxa"/>
            <w:tcBorders>
              <w:left w:val="none" w:sz="8"/>
              <w:right w:val="none" w:sz="8"/>
            </w:tcBorders>
            <w:tcMar>
              <w:top w:w="72" w:type="dxa"/>
              <w:left w:w="120" w:type="dxa"/>
              <w:bottom w:w="72" w:type="dxa"/>
              <w:right w:w="120" w:type="dxa"/>
            </w:tcMar>
            <w:vAlign w:val="center"/>
          </w:tcPr>
          <w:p w14:paraId="69459175">
            <w:pPr>
              <w:jc w:val="left"/>
              <w:rPr>
                <w:color w:val="000000"/>
              </w:rPr>
            </w:pPr>
            <w:r>
              <w:rPr>
                <w:rFonts w:ascii="Times New Roman" w:hAnsi="Times New Roman" w:eastAsia="Times New Roman" w:cs="Times New Roman"/>
                <w:color w:val="000000"/>
                <w:sz w:val="21"/>
              </w:rPr>
              <w:t>2.5</w:t>
            </w:r>
          </w:p>
        </w:tc>
        <w:tc>
          <w:tcPr>
            <w:tcW w:w="1384" w:type="dxa"/>
            <w:tcBorders>
              <w:left w:val="none" w:sz="8"/>
              <w:right w:val="none" w:sz="8"/>
            </w:tcBorders>
            <w:tcMar>
              <w:top w:w="72" w:type="dxa"/>
              <w:left w:w="120" w:type="dxa"/>
              <w:bottom w:w="72" w:type="dxa"/>
              <w:right w:w="120" w:type="dxa"/>
            </w:tcMar>
            <w:vAlign w:val="center"/>
          </w:tcPr>
          <w:p w14:paraId="092BE671">
            <w:pPr>
              <w:jc w:val="left"/>
              <w:rPr>
                <w:color w:val="000000"/>
              </w:rPr>
            </w:pPr>
            <w:r>
              <w:rPr>
                <w:rFonts w:ascii="Times New Roman" w:hAnsi="Times New Roman" w:eastAsia="Times New Roman" w:cs="Times New Roman"/>
                <w:color w:val="000000"/>
                <w:sz w:val="21"/>
              </w:rPr>
              <w:t>Iwata-Reuyl 2003</w:t>
            </w:r>
          </w:p>
        </w:tc>
      </w:tr>
      <w:tr>
        <w:trPr/>
        <w:tc>
          <w:tcPr>
            <w:tcW w:w="1384" w:type="dxa"/>
            <w:tcBorders>
              <w:left w:val="none" w:sz="8"/>
              <w:right w:val="none" w:sz="8"/>
            </w:tcBorders>
            <w:tcMar>
              <w:top w:w="72" w:type="dxa"/>
              <w:left w:w="120" w:type="dxa"/>
              <w:bottom w:w="72" w:type="dxa"/>
              <w:right w:w="120" w:type="dxa"/>
            </w:tcMar>
            <w:vAlign w:val="center"/>
          </w:tcPr>
          <w:p w14:paraId="3C9C975E">
            <w:pPr>
              <w:jc w:val="left"/>
              <w:rPr>
                <w:color w:val="000000"/>
              </w:rPr>
            </w:pPr>
            <w:r>
              <w:rPr>
                <w:rFonts w:ascii="Times New Roman" w:hAnsi="Times New Roman" w:eastAsia="Times New Roman" w:cs="Times New Roman"/>
                <w:color w:val="000000"/>
                <w:sz w:val="21"/>
              </w:rPr>
              <w:t>CrtB, P. ananatis (in vivo)</w:t>
            </w:r>
          </w:p>
        </w:tc>
        <w:tc>
          <w:tcPr>
            <w:tcW w:w="1384" w:type="dxa"/>
            <w:tcBorders>
              <w:left w:val="none" w:sz="8"/>
              <w:right w:val="none" w:sz="8"/>
            </w:tcBorders>
            <w:tcMar>
              <w:top w:w="72" w:type="dxa"/>
              <w:left w:w="120" w:type="dxa"/>
              <w:bottom w:w="72" w:type="dxa"/>
              <w:right w:w="120" w:type="dxa"/>
            </w:tcMar>
            <w:vAlign w:val="center"/>
          </w:tcPr>
          <w:p w14:paraId="0D5F94DA">
            <w:pPr>
              <w:jc w:val="left"/>
              <w:rPr>
                <w:color w:val="000000"/>
              </w:rPr>
            </w:pPr>
            <w:r>
              <w:rPr>
                <w:rFonts w:ascii="Times New Roman" w:hAnsi="Times New Roman" w:eastAsia="Times New Roman" w:cs="Times New Roman"/>
                <w:color w:val="000000"/>
                <w:sz w:val="21"/>
              </w:rPr>
              <w:t>P21683</w:t>
            </w:r>
          </w:p>
        </w:tc>
        <w:tc>
          <w:tcPr>
            <w:tcW w:w="1384" w:type="dxa"/>
            <w:tcBorders>
              <w:left w:val="none" w:sz="8"/>
              <w:right w:val="none" w:sz="8"/>
            </w:tcBorders>
            <w:tcMar>
              <w:top w:w="72" w:type="dxa"/>
              <w:left w:w="120" w:type="dxa"/>
              <w:bottom w:w="72" w:type="dxa"/>
              <w:right w:w="120" w:type="dxa"/>
            </w:tcMar>
            <w:vAlign w:val="center"/>
          </w:tcPr>
          <w:p w14:paraId="5B8F98B4">
            <w:pPr>
              <w:jc w:val="left"/>
              <w:rPr>
                <w:color w:val="000000"/>
              </w:rPr>
            </w:pPr>
            <w:r>
              <w:rPr>
                <w:rFonts w:ascii="Times New Roman" w:hAnsi="Times New Roman" w:eastAsia="Times New Roman" w:cs="Times New Roman"/>
                <w:color w:val="000000"/>
                <w:sz w:val="21"/>
              </w:rPr>
              <w:t>GGPP</w:t>
            </w:r>
          </w:p>
        </w:tc>
        <w:tc>
          <w:tcPr>
            <w:tcW w:w="1384" w:type="dxa"/>
            <w:tcBorders>
              <w:left w:val="none" w:sz="8"/>
              <w:right w:val="none" w:sz="8"/>
            </w:tcBorders>
            <w:tcMar>
              <w:top w:w="72" w:type="dxa"/>
              <w:left w:w="120" w:type="dxa"/>
              <w:bottom w:w="72" w:type="dxa"/>
              <w:right w:w="120" w:type="dxa"/>
            </w:tcMar>
            <w:vAlign w:val="center"/>
          </w:tcPr>
          <w:p w14:paraId="3D586D58">
            <w:pPr>
              <w:jc w:val="left"/>
              <w:rPr>
                <w:color w:val="000000"/>
              </w:rPr>
            </w:pPr>
            <w:r>
              <w:rPr>
                <w:rFonts w:ascii="Times New Roman" w:hAnsi="Times New Roman" w:eastAsia="Times New Roman" w:cs="Times New Roman"/>
                <w:color w:val="000000"/>
                <w:sz w:val="21"/>
              </w:rPr>
              <w:t>6</w:t>
            </w:r>
          </w:p>
        </w:tc>
        <w:tc>
          <w:tcPr>
            <w:tcW w:w="1384" w:type="dxa"/>
            <w:tcBorders>
              <w:left w:val="none" w:sz="8"/>
              <w:right w:val="none" w:sz="8"/>
            </w:tcBorders>
            <w:tcMar>
              <w:top w:w="72" w:type="dxa"/>
              <w:left w:w="120" w:type="dxa"/>
              <w:bottom w:w="72" w:type="dxa"/>
              <w:right w:w="120" w:type="dxa"/>
            </w:tcMar>
            <w:vAlign w:val="center"/>
          </w:tcPr>
          <w:p w14:paraId="244E95A0">
            <w:pPr>
              <w:jc w:val="left"/>
              <w:rPr>
                <w:color w:val="000000"/>
              </w:rPr>
            </w:pPr>
            <w:r>
              <w:rPr>
                <w:rFonts w:ascii="Times New Roman" w:hAnsi="Times New Roman" w:eastAsia="Times New Roman" w:cs="Times New Roman"/>
                <w:color w:val="000000"/>
                <w:sz w:val="21"/>
              </w:rPr>
              <w:t>1.6</w:t>
            </w:r>
          </w:p>
        </w:tc>
        <w:tc>
          <w:tcPr>
            <w:tcW w:w="1384" w:type="dxa"/>
            <w:tcBorders>
              <w:left w:val="none" w:sz="8"/>
              <w:right w:val="none" w:sz="8"/>
            </w:tcBorders>
            <w:tcMar>
              <w:top w:w="72" w:type="dxa"/>
              <w:left w:w="120" w:type="dxa"/>
              <w:bottom w:w="72" w:type="dxa"/>
              <w:right w:w="120" w:type="dxa"/>
            </w:tcMar>
            <w:vAlign w:val="center"/>
          </w:tcPr>
          <w:p w14:paraId="7338F305">
            <w:pPr>
              <w:jc w:val="left"/>
              <w:rPr>
                <w:color w:val="000000"/>
              </w:rPr>
            </w:pPr>
            <w:r>
              <w:rPr>
                <w:rFonts w:ascii="Times New Roman" w:hAnsi="Times New Roman" w:eastAsia="Times New Roman" w:cs="Times New Roman"/>
                <w:color w:val="000000"/>
                <w:sz w:val="21"/>
              </w:rPr>
              <w:t>Berviller-Magnan 2024</w:t>
            </w:r>
          </w:p>
        </w:tc>
      </w:tr>
      <w:tr>
        <w:trPr/>
        <w:tc>
          <w:tcPr>
            <w:tcW w:w="1384" w:type="dxa"/>
            <w:tcBorders>
              <w:left w:val="none" w:sz="8"/>
              <w:right w:val="none" w:sz="8"/>
            </w:tcBorders>
            <w:tcMar>
              <w:top w:w="72" w:type="dxa"/>
              <w:left w:w="120" w:type="dxa"/>
              <w:bottom w:w="72" w:type="dxa"/>
              <w:right w:w="120" w:type="dxa"/>
            </w:tcMar>
            <w:vAlign w:val="center"/>
          </w:tcPr>
          <w:p w14:paraId="5092D32F">
            <w:pPr>
              <w:jc w:val="left"/>
              <w:rPr>
                <w:color w:val="000000"/>
              </w:rPr>
            </w:pPr>
            <w:r>
              <w:rPr>
                <w:rFonts w:ascii="Times New Roman" w:hAnsi="Times New Roman" w:eastAsia="Times New Roman" w:cs="Times New Roman"/>
                <w:color w:val="000000"/>
                <w:sz w:val="21"/>
              </w:rPr>
              <w:t>CrtE, P. ananatis</w:t>
            </w:r>
          </w:p>
        </w:tc>
        <w:tc>
          <w:tcPr>
            <w:tcW w:w="1384" w:type="dxa"/>
            <w:tcBorders>
              <w:left w:val="none" w:sz="8"/>
              <w:right w:val="none" w:sz="8"/>
            </w:tcBorders>
            <w:tcMar>
              <w:top w:w="72" w:type="dxa"/>
              <w:left w:w="120" w:type="dxa"/>
              <w:bottom w:w="72" w:type="dxa"/>
              <w:right w:w="120" w:type="dxa"/>
            </w:tcMar>
            <w:vAlign w:val="center"/>
          </w:tcPr>
          <w:p w14:paraId="22D85332">
            <w:pPr>
              <w:jc w:val="left"/>
              <w:rPr>
                <w:color w:val="000000"/>
              </w:rPr>
            </w:pPr>
            <w:r>
              <w:rPr>
                <w:rFonts w:ascii="Times New Roman" w:hAnsi="Times New Roman" w:eastAsia="Times New Roman" w:cs="Times New Roman"/>
                <w:color w:val="000000"/>
                <w:sz w:val="21"/>
              </w:rPr>
              <w:t>P21684</w:t>
            </w:r>
          </w:p>
        </w:tc>
        <w:tc>
          <w:tcPr>
            <w:tcW w:w="1384" w:type="dxa"/>
            <w:tcBorders>
              <w:left w:val="none" w:sz="8"/>
              <w:right w:val="none" w:sz="8"/>
            </w:tcBorders>
            <w:tcMar>
              <w:top w:w="72" w:type="dxa"/>
              <w:left w:w="120" w:type="dxa"/>
              <w:bottom w:w="72" w:type="dxa"/>
              <w:right w:w="120" w:type="dxa"/>
            </w:tcMar>
            <w:vAlign w:val="center"/>
          </w:tcPr>
          <w:p w14:paraId="49C598D5">
            <w:pPr>
              <w:jc w:val="left"/>
              <w:rPr>
                <w:color w:val="000000"/>
              </w:rPr>
            </w:pPr>
            <w:r>
              <w:rPr>
                <w:rFonts w:ascii="Times New Roman" w:hAnsi="Times New Roman" w:eastAsia="Times New Roman" w:cs="Times New Roman"/>
                <w:color w:val="000000"/>
                <w:sz w:val="21"/>
              </w:rPr>
              <w:t>FPP</w:t>
            </w:r>
          </w:p>
        </w:tc>
        <w:tc>
          <w:tcPr>
            <w:tcW w:w="1384" w:type="dxa"/>
            <w:tcBorders>
              <w:left w:val="none" w:sz="8"/>
              <w:right w:val="none" w:sz="8"/>
            </w:tcBorders>
            <w:tcMar>
              <w:top w:w="72" w:type="dxa"/>
              <w:left w:w="120" w:type="dxa"/>
              <w:bottom w:w="72" w:type="dxa"/>
              <w:right w:w="120" w:type="dxa"/>
            </w:tcMar>
            <w:vAlign w:val="center"/>
          </w:tcPr>
          <w:p w14:paraId="70CD4247">
            <w:pPr>
              <w:jc w:val="left"/>
              <w:rPr>
                <w:color w:val="000000"/>
              </w:rPr>
            </w:pPr>
            <w:r>
              <w:rPr>
                <w:rFonts w:ascii="Times New Roman" w:hAnsi="Times New Roman" w:eastAsia="Times New Roman" w:cs="Times New Roman"/>
                <w:color w:val="000000"/>
                <w:sz w:val="21"/>
              </w:rPr>
              <w:t>0.8</w:t>
            </w:r>
          </w:p>
        </w:tc>
        <w:tc>
          <w:tcPr>
            <w:tcW w:w="1384" w:type="dxa"/>
            <w:tcBorders>
              <w:left w:val="none" w:sz="8"/>
              <w:right w:val="none" w:sz="8"/>
            </w:tcBorders>
            <w:tcMar>
              <w:top w:w="72" w:type="dxa"/>
              <w:left w:w="120" w:type="dxa"/>
              <w:bottom w:w="72" w:type="dxa"/>
              <w:right w:w="120" w:type="dxa"/>
            </w:tcMar>
            <w:vAlign w:val="center"/>
          </w:tcPr>
          <w:p w14:paraId="3D9E29BA">
            <w:pPr>
              <w:jc w:val="left"/>
              <w:rPr>
                <w:color w:val="000000"/>
              </w:rPr>
            </w:pPr>
            <w:r>
              <w:rPr>
                <w:rFonts w:ascii="Times New Roman" w:hAnsi="Times New Roman" w:eastAsia="Times New Roman" w:cs="Times New Roman"/>
                <w:color w:val="000000"/>
                <w:sz w:val="21"/>
              </w:rPr>
              <w:t>0.15</w:t>
            </w:r>
          </w:p>
        </w:tc>
        <w:tc>
          <w:tcPr>
            <w:tcW w:w="1384" w:type="dxa"/>
            <w:tcBorders>
              <w:left w:val="none" w:sz="8"/>
              <w:right w:val="none" w:sz="8"/>
            </w:tcBorders>
            <w:tcMar>
              <w:top w:w="72" w:type="dxa"/>
              <w:left w:w="120" w:type="dxa"/>
              <w:bottom w:w="72" w:type="dxa"/>
              <w:right w:w="120" w:type="dxa"/>
            </w:tcMar>
            <w:vAlign w:val="center"/>
          </w:tcPr>
          <w:p w14:paraId="0FDFC5BE">
            <w:pPr>
              <w:jc w:val="left"/>
              <w:rPr>
                <w:color w:val="000000"/>
              </w:rPr>
            </w:pPr>
            <w:r>
              <w:rPr>
                <w:rFonts w:ascii="Times New Roman" w:hAnsi="Times New Roman" w:eastAsia="Times New Roman" w:cs="Times New Roman"/>
                <w:color w:val="000000"/>
                <w:sz w:val="21"/>
              </w:rPr>
              <w:t>BRENDA</w:t>
            </w:r>
          </w:p>
        </w:tc>
      </w:tr>
      <w:tr>
        <w:trPr/>
        <w:tc>
          <w:tcPr>
            <w:tcW w:w="1384" w:type="dxa"/>
            <w:tcBorders>
              <w:left w:val="none" w:sz="8"/>
              <w:right w:val="none" w:sz="8"/>
            </w:tcBorders>
            <w:tcMar>
              <w:top w:w="72" w:type="dxa"/>
              <w:left w:w="120" w:type="dxa"/>
              <w:bottom w:w="72" w:type="dxa"/>
              <w:right w:w="120" w:type="dxa"/>
            </w:tcMar>
            <w:vAlign w:val="center"/>
          </w:tcPr>
          <w:p w14:paraId="4484A029">
            <w:pPr>
              <w:jc w:val="left"/>
              <w:rPr>
                <w:color w:val="000000"/>
              </w:rPr>
            </w:pPr>
            <w:r>
              <w:rPr>
                <w:rFonts w:ascii="Times New Roman" w:hAnsi="Times New Roman" w:eastAsia="Times New Roman" w:cs="Times New Roman"/>
                <w:color w:val="000000"/>
                <w:sz w:val="21"/>
              </w:rPr>
              <w:t>GGPS1, human</w:t>
            </w:r>
          </w:p>
        </w:tc>
        <w:tc>
          <w:tcPr>
            <w:tcW w:w="1384" w:type="dxa"/>
            <w:tcBorders>
              <w:left w:val="none" w:sz="8"/>
              <w:right w:val="none" w:sz="8"/>
            </w:tcBorders>
            <w:tcMar>
              <w:top w:w="72" w:type="dxa"/>
              <w:left w:w="120" w:type="dxa"/>
              <w:bottom w:w="72" w:type="dxa"/>
              <w:right w:w="120" w:type="dxa"/>
            </w:tcMar>
            <w:vAlign w:val="center"/>
          </w:tcPr>
          <w:p w14:paraId="56C58C15">
            <w:pPr>
              <w:jc w:val="left"/>
              <w:rPr>
                <w:color w:val="000000"/>
              </w:rPr>
            </w:pPr>
            <w:r>
              <w:rPr>
                <w:rFonts w:ascii="Times New Roman" w:hAnsi="Times New Roman" w:eastAsia="Times New Roman" w:cs="Times New Roman"/>
                <w:color w:val="000000"/>
                <w:sz w:val="21"/>
              </w:rPr>
              <w:t>O95749</w:t>
            </w:r>
          </w:p>
        </w:tc>
        <w:tc>
          <w:tcPr>
            <w:tcW w:w="1384" w:type="dxa"/>
            <w:tcBorders>
              <w:left w:val="none" w:sz="8"/>
              <w:right w:val="none" w:sz="8"/>
            </w:tcBorders>
            <w:tcMar>
              <w:top w:w="72" w:type="dxa"/>
              <w:left w:w="120" w:type="dxa"/>
              <w:bottom w:w="72" w:type="dxa"/>
              <w:right w:w="120" w:type="dxa"/>
            </w:tcMar>
            <w:vAlign w:val="center"/>
          </w:tcPr>
          <w:p w14:paraId="7DBD4783">
            <w:pPr>
              <w:jc w:val="left"/>
              <w:rPr>
                <w:color w:val="000000"/>
              </w:rPr>
            </w:pPr>
            <w:r>
              <w:rPr>
                <w:rFonts w:ascii="Times New Roman" w:hAnsi="Times New Roman" w:eastAsia="Times New Roman" w:cs="Times New Roman"/>
                <w:color w:val="000000"/>
                <w:sz w:val="21"/>
              </w:rPr>
              <w:t>FPP</w:t>
            </w:r>
          </w:p>
        </w:tc>
        <w:tc>
          <w:tcPr>
            <w:tcW w:w="1384" w:type="dxa"/>
            <w:tcBorders>
              <w:left w:val="none" w:sz="8"/>
              <w:right w:val="none" w:sz="8"/>
            </w:tcBorders>
            <w:tcMar>
              <w:top w:w="72" w:type="dxa"/>
              <w:left w:w="120" w:type="dxa"/>
              <w:bottom w:w="72" w:type="dxa"/>
              <w:right w:w="120" w:type="dxa"/>
            </w:tcMar>
            <w:vAlign w:val="center"/>
          </w:tcPr>
          <w:p w14:paraId="2834CE18">
            <w:pPr>
              <w:jc w:val="left"/>
              <w:rPr>
                <w:color w:val="000000"/>
              </w:rPr>
            </w:pPr>
            <w:r>
              <w:rPr>
                <w:rFonts w:ascii="Times New Roman" w:hAnsi="Times New Roman" w:eastAsia="Times New Roman" w:cs="Times New Roman"/>
                <w:color w:val="000000"/>
                <w:sz w:val="21"/>
              </w:rPr>
              <w:t>0.204</w:t>
            </w:r>
          </w:p>
        </w:tc>
        <w:tc>
          <w:tcPr>
            <w:tcW w:w="1384" w:type="dxa"/>
            <w:tcBorders>
              <w:left w:val="none" w:sz="8"/>
              <w:right w:val="none" w:sz="8"/>
            </w:tcBorders>
            <w:tcMar>
              <w:top w:w="72" w:type="dxa"/>
              <w:left w:w="120" w:type="dxa"/>
              <w:bottom w:w="72" w:type="dxa"/>
              <w:right w:w="120" w:type="dxa"/>
            </w:tcMar>
            <w:vAlign w:val="center"/>
          </w:tcPr>
          <w:p w14:paraId="771A3F31">
            <w:pPr>
              <w:jc w:val="left"/>
              <w:rPr>
                <w:color w:val="000000"/>
              </w:rPr>
            </w:pPr>
            <w:r>
              <w:rPr>
                <w:rFonts w:ascii="Times New Roman" w:hAnsi="Times New Roman" w:eastAsia="Times New Roman" w:cs="Times New Roman"/>
                <w:color w:val="000000"/>
                <w:sz w:val="21"/>
              </w:rPr>
              <w:t>0.37</w:t>
            </w:r>
          </w:p>
        </w:tc>
        <w:tc>
          <w:tcPr>
            <w:tcW w:w="1384" w:type="dxa"/>
            <w:tcBorders>
              <w:left w:val="none" w:sz="8"/>
              <w:right w:val="none" w:sz="8"/>
            </w:tcBorders>
            <w:tcMar>
              <w:top w:w="72" w:type="dxa"/>
              <w:left w:w="120" w:type="dxa"/>
              <w:bottom w:w="72" w:type="dxa"/>
              <w:right w:w="120" w:type="dxa"/>
            </w:tcMar>
            <w:vAlign w:val="center"/>
          </w:tcPr>
          <w:p w14:paraId="3254D858">
            <w:pPr>
              <w:jc w:val="left"/>
              <w:rPr>
                <w:color w:val="000000"/>
              </w:rPr>
            </w:pPr>
            <w:r>
              <w:rPr>
                <w:rFonts w:ascii="Times New Roman" w:hAnsi="Times New Roman" w:eastAsia="Times New Roman" w:cs="Times New Roman"/>
                <w:color w:val="000000"/>
                <w:sz w:val="21"/>
              </w:rPr>
              <w:t>Kavanagh 2006</w:t>
            </w:r>
          </w:p>
        </w:tc>
      </w:tr>
      <w:tr>
        <w:trPr/>
        <w:tc>
          <w:tcPr>
            <w:tcW w:w="1384" w:type="dxa"/>
            <w:tcBorders>
              <w:left w:val="none" w:sz="8"/>
              <w:right w:val="none" w:sz="8"/>
            </w:tcBorders>
            <w:tcMar>
              <w:top w:w="72" w:type="dxa"/>
              <w:left w:w="120" w:type="dxa"/>
              <w:bottom w:w="72" w:type="dxa"/>
              <w:right w:w="120" w:type="dxa"/>
            </w:tcMar>
            <w:vAlign w:val="center"/>
          </w:tcPr>
          <w:p w14:paraId="16B6F2DA">
            <w:pPr>
              <w:jc w:val="left"/>
              <w:rPr>
                <w:color w:val="000000"/>
              </w:rPr>
            </w:pPr>
            <w:r>
              <w:rPr>
                <w:rFonts w:ascii="Times New Roman" w:hAnsi="Times New Roman" w:eastAsia="Times New Roman" w:cs="Times New Roman"/>
                <w:color w:val="000000"/>
                <w:sz w:val="21"/>
              </w:rPr>
              <w:t>CrtI, P. ananatis</w:t>
            </w:r>
          </w:p>
        </w:tc>
        <w:tc>
          <w:tcPr>
            <w:tcW w:w="1384" w:type="dxa"/>
            <w:tcBorders>
              <w:left w:val="none" w:sz="8"/>
              <w:right w:val="none" w:sz="8"/>
            </w:tcBorders>
            <w:tcMar>
              <w:top w:w="72" w:type="dxa"/>
              <w:left w:w="120" w:type="dxa"/>
              <w:bottom w:w="72" w:type="dxa"/>
              <w:right w:w="120" w:type="dxa"/>
            </w:tcMar>
            <w:vAlign w:val="center"/>
          </w:tcPr>
          <w:p w14:paraId="60773A56">
            <w:pPr>
              <w:jc w:val="left"/>
              <w:rPr>
                <w:color w:val="000000"/>
              </w:rPr>
            </w:pPr>
            <w:r>
              <w:rPr>
                <w:rFonts w:ascii="Times New Roman" w:hAnsi="Times New Roman" w:eastAsia="Times New Roman" w:cs="Times New Roman"/>
                <w:color w:val="000000"/>
                <w:sz w:val="21"/>
              </w:rPr>
              <w:t>P21685</w:t>
            </w:r>
          </w:p>
        </w:tc>
        <w:tc>
          <w:tcPr>
            <w:tcW w:w="1384" w:type="dxa"/>
            <w:tcBorders>
              <w:left w:val="none" w:sz="8"/>
              <w:right w:val="none" w:sz="8"/>
            </w:tcBorders>
            <w:tcMar>
              <w:top w:w="72" w:type="dxa"/>
              <w:left w:w="120" w:type="dxa"/>
              <w:bottom w:w="72" w:type="dxa"/>
              <w:right w:w="120" w:type="dxa"/>
            </w:tcMar>
            <w:vAlign w:val="center"/>
          </w:tcPr>
          <w:p w14:paraId="36B6A3E3">
            <w:pPr>
              <w:jc w:val="left"/>
              <w:rPr>
                <w:color w:val="000000"/>
              </w:rPr>
            </w:pPr>
            <w:r>
              <w:rPr>
                <w:rFonts w:ascii="Times New Roman" w:hAnsi="Times New Roman" w:eastAsia="Times New Roman" w:cs="Times New Roman"/>
                <w:color w:val="000000"/>
                <w:sz w:val="21"/>
              </w:rPr>
              <w:t>phytoene</w:t>
            </w:r>
          </w:p>
        </w:tc>
        <w:tc>
          <w:tcPr>
            <w:tcW w:w="1384" w:type="dxa"/>
            <w:tcBorders>
              <w:left w:val="none" w:sz="8"/>
              <w:right w:val="none" w:sz="8"/>
            </w:tcBorders>
            <w:tcMar>
              <w:top w:w="72" w:type="dxa"/>
              <w:left w:w="120" w:type="dxa"/>
              <w:bottom w:w="72" w:type="dxa"/>
              <w:right w:w="120" w:type="dxa"/>
            </w:tcMar>
            <w:vAlign w:val="center"/>
          </w:tcPr>
          <w:p w14:paraId="5F8CABB9">
            <w:pPr>
              <w:jc w:val="left"/>
              <w:rPr>
                <w:color w:val="000000"/>
              </w:rPr>
            </w:pPr>
            <w:r>
              <w:rPr>
                <w:rFonts w:ascii="Times New Roman" w:hAnsi="Times New Roman" w:eastAsia="Times New Roman" w:cs="Times New Roman"/>
                <w:color w:val="000000"/>
                <w:sz w:val="21"/>
              </w:rPr>
              <w:t>0.1</w:t>
            </w:r>
          </w:p>
        </w:tc>
        <w:tc>
          <w:tcPr>
            <w:tcW w:w="1384" w:type="dxa"/>
            <w:tcBorders>
              <w:left w:val="none" w:sz="8"/>
              <w:right w:val="none" w:sz="8"/>
            </w:tcBorders>
            <w:tcMar>
              <w:top w:w="72" w:type="dxa"/>
              <w:left w:w="120" w:type="dxa"/>
              <w:bottom w:w="72" w:type="dxa"/>
              <w:right w:w="120" w:type="dxa"/>
            </w:tcMar>
            <w:vAlign w:val="center"/>
          </w:tcPr>
          <w:p w14:paraId="6ADD349E">
            <w:pPr>
              <w:jc w:val="left"/>
              <w:rPr>
                <w:color w:val="000000"/>
              </w:rPr>
            </w:pPr>
            <w:r>
              <w:rPr>
                <w:rFonts w:ascii="Times New Roman" w:hAnsi="Times New Roman" w:eastAsia="Times New Roman" w:cs="Times New Roman"/>
                <w:color w:val="000000"/>
                <w:sz w:val="21"/>
              </w:rPr>
              <w:t>0.75</w:t>
            </w:r>
          </w:p>
        </w:tc>
        <w:tc>
          <w:tcPr>
            <w:tcW w:w="1384" w:type="dxa"/>
            <w:tcBorders>
              <w:left w:val="none" w:sz="8"/>
              <w:right w:val="none" w:sz="8"/>
            </w:tcBorders>
            <w:tcMar>
              <w:top w:w="72" w:type="dxa"/>
              <w:left w:w="120" w:type="dxa"/>
              <w:bottom w:w="72" w:type="dxa"/>
              <w:right w:w="120" w:type="dxa"/>
            </w:tcMar>
            <w:vAlign w:val="center"/>
          </w:tcPr>
          <w:p w14:paraId="465A8597">
            <w:pPr>
              <w:jc w:val="left"/>
              <w:rPr>
                <w:color w:val="000000"/>
              </w:rPr>
            </w:pPr>
            <w:r>
              <w:rPr>
                <w:rFonts w:ascii="Times New Roman" w:hAnsi="Times New Roman" w:eastAsia="Times New Roman" w:cs="Times New Roman"/>
                <w:color w:val="000000"/>
                <w:sz w:val="21"/>
              </w:rPr>
              <w:t>Lavrijsen 2021</w:t>
            </w:r>
          </w:p>
        </w:tc>
      </w:tr>
      <w:tr>
        <w:trPr/>
        <w:tc>
          <w:tcPr>
            <w:tcW w:w="1384" w:type="dxa"/>
            <w:tcBorders>
              <w:left w:val="none" w:sz="8"/>
              <w:right w:val="none" w:sz="8"/>
            </w:tcBorders>
            <w:tcMar>
              <w:top w:w="72" w:type="dxa"/>
              <w:left w:w="120" w:type="dxa"/>
              <w:bottom w:w="72" w:type="dxa"/>
              <w:right w:w="120" w:type="dxa"/>
            </w:tcMar>
            <w:vAlign w:val="center"/>
          </w:tcPr>
          <w:p w14:paraId="2A84D6A9">
            <w:pPr>
              <w:jc w:val="left"/>
              <w:rPr>
                <w:color w:val="000000"/>
              </w:rPr>
            </w:pPr>
            <w:r>
              <w:rPr>
                <w:rFonts w:ascii="Times New Roman" w:hAnsi="Times New Roman" w:eastAsia="Times New Roman" w:cs="Times New Roman"/>
                <w:color w:val="000000"/>
                <w:sz w:val="21"/>
              </w:rPr>
              <w:t>CrtI, B. trispora</w:t>
            </w:r>
          </w:p>
        </w:tc>
        <w:tc>
          <w:tcPr>
            <w:tcW w:w="1384" w:type="dxa"/>
            <w:tcBorders>
              <w:left w:val="none" w:sz="8"/>
              <w:right w:val="none" w:sz="8"/>
            </w:tcBorders>
            <w:tcMar>
              <w:top w:w="72" w:type="dxa"/>
              <w:left w:w="120" w:type="dxa"/>
              <w:bottom w:w="72" w:type="dxa"/>
              <w:right w:w="120" w:type="dxa"/>
            </w:tcMar>
            <w:vAlign w:val="center"/>
          </w:tcPr>
          <w:p w14:paraId="34C586B5">
            <w:pPr>
              <w:jc w:val="left"/>
              <w:rPr>
                <w:color w:val="000000"/>
              </w:rPr>
            </w:pPr>
            <w:r>
              <w:rPr>
                <w:rFonts w:ascii="Times New Roman" w:hAnsi="Times New Roman" w:eastAsia="Times New Roman" w:cs="Times New Roman"/>
                <w:color w:val="000000"/>
                <w:sz w:val="21"/>
              </w:rPr>
              <w:t>Q67GI0</w:t>
            </w:r>
          </w:p>
        </w:tc>
        <w:tc>
          <w:tcPr>
            <w:tcW w:w="1384" w:type="dxa"/>
            <w:tcBorders>
              <w:left w:val="none" w:sz="8"/>
              <w:right w:val="none" w:sz="8"/>
            </w:tcBorders>
            <w:tcMar>
              <w:top w:w="72" w:type="dxa"/>
              <w:left w:w="120" w:type="dxa"/>
              <w:bottom w:w="72" w:type="dxa"/>
              <w:right w:w="120" w:type="dxa"/>
            </w:tcMar>
            <w:vAlign w:val="center"/>
          </w:tcPr>
          <w:p w14:paraId="4AE127C5">
            <w:pPr>
              <w:jc w:val="left"/>
              <w:rPr>
                <w:color w:val="000000"/>
              </w:rPr>
            </w:pPr>
            <w:r>
              <w:rPr>
                <w:rFonts w:ascii="Times New Roman" w:hAnsi="Times New Roman" w:eastAsia="Times New Roman" w:cs="Times New Roman"/>
                <w:color w:val="000000"/>
                <w:sz w:val="21"/>
              </w:rPr>
              <w:t>phytoene</w:t>
            </w:r>
          </w:p>
        </w:tc>
        <w:tc>
          <w:tcPr>
            <w:tcW w:w="1384" w:type="dxa"/>
            <w:tcBorders>
              <w:left w:val="none" w:sz="8"/>
              <w:right w:val="none" w:sz="8"/>
            </w:tcBorders>
            <w:tcMar>
              <w:top w:w="72" w:type="dxa"/>
              <w:left w:w="120" w:type="dxa"/>
              <w:bottom w:w="72" w:type="dxa"/>
              <w:right w:w="120" w:type="dxa"/>
            </w:tcMar>
            <w:vAlign w:val="center"/>
          </w:tcPr>
          <w:p w14:paraId="738EBFCC">
            <w:pPr>
              <w:jc w:val="left"/>
              <w:rPr>
                <w:color w:val="000000"/>
              </w:rPr>
            </w:pPr>
            <w:r>
              <w:rPr>
                <w:rFonts w:ascii="Times New Roman" w:hAnsi="Times New Roman" w:eastAsia="Times New Roman" w:cs="Times New Roman"/>
                <w:color w:val="000000"/>
                <w:sz w:val="21"/>
              </w:rPr>
              <w:t>0.1</w:t>
            </w:r>
          </w:p>
        </w:tc>
        <w:tc>
          <w:tcPr>
            <w:tcW w:w="1384" w:type="dxa"/>
            <w:tcBorders>
              <w:left w:val="none" w:sz="8"/>
              <w:right w:val="none" w:sz="8"/>
            </w:tcBorders>
            <w:tcMar>
              <w:top w:w="72" w:type="dxa"/>
              <w:left w:w="120" w:type="dxa"/>
              <w:bottom w:w="72" w:type="dxa"/>
              <w:right w:w="120" w:type="dxa"/>
            </w:tcMar>
            <w:vAlign w:val="center"/>
          </w:tcPr>
          <w:p w14:paraId="395F8F6F">
            <w:pPr>
              <w:jc w:val="left"/>
              <w:rPr>
                <w:color w:val="000000"/>
              </w:rPr>
            </w:pPr>
            <w:r>
              <w:rPr>
                <w:rFonts w:ascii="Times New Roman" w:hAnsi="Times New Roman" w:eastAsia="Times New Roman" w:cs="Times New Roman"/>
                <w:color w:val="000000"/>
                <w:sz w:val="21"/>
              </w:rPr>
              <w:t>0.84</w:t>
            </w:r>
          </w:p>
        </w:tc>
        <w:tc>
          <w:tcPr>
            <w:tcW w:w="1384" w:type="dxa"/>
            <w:tcBorders>
              <w:left w:val="none" w:sz="8"/>
              <w:right w:val="none" w:sz="8"/>
            </w:tcBorders>
            <w:tcMar>
              <w:top w:w="72" w:type="dxa"/>
              <w:left w:w="120" w:type="dxa"/>
              <w:bottom w:w="72" w:type="dxa"/>
              <w:right w:w="120" w:type="dxa"/>
            </w:tcMar>
            <w:vAlign w:val="center"/>
          </w:tcPr>
          <w:p w14:paraId="1AD84176">
            <w:pPr>
              <w:jc w:val="left"/>
              <w:rPr>
                <w:color w:val="000000"/>
              </w:rPr>
            </w:pPr>
            <w:r>
              <w:rPr>
                <w:rFonts w:ascii="Times New Roman" w:hAnsi="Times New Roman" w:eastAsia="Times New Roman" w:cs="Times New Roman"/>
                <w:color w:val="000000"/>
                <w:sz w:val="21"/>
              </w:rPr>
              <w:t>Lavrijsen 2021</w:t>
            </w:r>
          </w:p>
        </w:tc>
      </w:tr>
      <w:tr>
        <w:trPr/>
        <w:tc>
          <w:tcPr>
            <w:tcW w:w="1384" w:type="dxa"/>
            <w:tcBorders>
              <w:left w:val="none" w:sz="8"/>
              <w:right w:val="none" w:sz="8"/>
            </w:tcBorders>
            <w:tcMar>
              <w:top w:w="72" w:type="dxa"/>
              <w:left w:w="120" w:type="dxa"/>
              <w:bottom w:w="72" w:type="dxa"/>
              <w:right w:w="120" w:type="dxa"/>
            </w:tcMar>
            <w:vAlign w:val="center"/>
          </w:tcPr>
          <w:p w14:paraId="1454D508">
            <w:pPr>
              <w:jc w:val="left"/>
              <w:rPr>
                <w:color w:val="000000"/>
              </w:rPr>
            </w:pPr>
            <w:r>
              <w:rPr>
                <w:rFonts w:ascii="Times New Roman" w:hAnsi="Times New Roman" w:eastAsia="Times New Roman" w:cs="Times New Roman"/>
                <w:color w:val="000000"/>
                <w:sz w:val="21"/>
              </w:rPr>
              <w:t>CrtI, M. aurum</w:t>
            </w:r>
          </w:p>
        </w:tc>
        <w:tc>
          <w:tcPr>
            <w:tcW w:w="1384" w:type="dxa"/>
            <w:tcBorders>
              <w:left w:val="none" w:sz="8"/>
              <w:right w:val="none" w:sz="8"/>
            </w:tcBorders>
            <w:tcMar>
              <w:top w:w="72" w:type="dxa"/>
              <w:left w:w="120" w:type="dxa"/>
              <w:bottom w:w="72" w:type="dxa"/>
              <w:right w:w="120" w:type="dxa"/>
            </w:tcMar>
            <w:vAlign w:val="center"/>
          </w:tcPr>
          <w:p w14:paraId="678450EC">
            <w:pPr>
              <w:jc w:val="left"/>
              <w:rPr>
                <w:color w:val="000000"/>
              </w:rPr>
            </w:pPr>
            <w:r>
              <w:rPr>
                <w:rFonts w:ascii="Times New Roman" w:hAnsi="Times New Roman" w:eastAsia="Times New Roman" w:cs="Times New Roman"/>
                <w:color w:val="000000"/>
                <w:sz w:val="21"/>
              </w:rPr>
              <w:t>Q9K566</w:t>
            </w:r>
          </w:p>
        </w:tc>
        <w:tc>
          <w:tcPr>
            <w:tcW w:w="1384" w:type="dxa"/>
            <w:tcBorders>
              <w:left w:val="none" w:sz="8"/>
              <w:right w:val="none" w:sz="8"/>
            </w:tcBorders>
            <w:tcMar>
              <w:top w:w="72" w:type="dxa"/>
              <w:left w:w="120" w:type="dxa"/>
              <w:bottom w:w="72" w:type="dxa"/>
              <w:right w:w="120" w:type="dxa"/>
            </w:tcMar>
            <w:vAlign w:val="center"/>
          </w:tcPr>
          <w:p w14:paraId="34684227">
            <w:pPr>
              <w:jc w:val="left"/>
              <w:rPr>
                <w:color w:val="000000"/>
              </w:rPr>
            </w:pPr>
            <w:r>
              <w:rPr>
                <w:rFonts w:ascii="Times New Roman" w:hAnsi="Times New Roman" w:eastAsia="Times New Roman" w:cs="Times New Roman"/>
                <w:color w:val="000000"/>
                <w:sz w:val="21"/>
              </w:rPr>
              <w:t>phytoene</w:t>
            </w:r>
          </w:p>
        </w:tc>
        <w:tc>
          <w:tcPr>
            <w:tcW w:w="1384" w:type="dxa"/>
            <w:tcBorders>
              <w:left w:val="none" w:sz="8"/>
              <w:right w:val="none" w:sz="8"/>
            </w:tcBorders>
            <w:tcMar>
              <w:top w:w="72" w:type="dxa"/>
              <w:left w:w="120" w:type="dxa"/>
              <w:bottom w:w="72" w:type="dxa"/>
              <w:right w:w="120" w:type="dxa"/>
            </w:tcMar>
            <w:vAlign w:val="center"/>
          </w:tcPr>
          <w:p w14:paraId="5D5A8BF5">
            <w:pPr>
              <w:jc w:val="left"/>
              <w:rPr>
                <w:color w:val="000000"/>
              </w:rPr>
            </w:pPr>
            <w:r>
              <w:rPr>
                <w:rFonts w:ascii="Times New Roman" w:hAnsi="Times New Roman" w:eastAsia="Times New Roman" w:cs="Times New Roman"/>
                <w:color w:val="000000"/>
                <w:sz w:val="21"/>
              </w:rPr>
              <w:t>0.1</w:t>
            </w:r>
          </w:p>
        </w:tc>
        <w:tc>
          <w:tcPr>
            <w:tcW w:w="1384" w:type="dxa"/>
            <w:tcBorders>
              <w:left w:val="none" w:sz="8"/>
              <w:right w:val="none" w:sz="8"/>
            </w:tcBorders>
            <w:tcMar>
              <w:top w:w="72" w:type="dxa"/>
              <w:left w:w="120" w:type="dxa"/>
              <w:bottom w:w="72" w:type="dxa"/>
              <w:right w:w="120" w:type="dxa"/>
            </w:tcMar>
            <w:vAlign w:val="center"/>
          </w:tcPr>
          <w:p w14:paraId="6804534C">
            <w:pPr>
              <w:jc w:val="left"/>
              <w:rPr>
                <w:color w:val="000000"/>
              </w:rPr>
            </w:pPr>
            <w:r>
              <w:rPr>
                <w:rFonts w:ascii="Times New Roman" w:hAnsi="Times New Roman" w:eastAsia="Times New Roman" w:cs="Times New Roman"/>
                <w:color w:val="000000"/>
                <w:sz w:val="21"/>
              </w:rPr>
              <w:t>0.65</w:t>
            </w:r>
          </w:p>
        </w:tc>
        <w:tc>
          <w:tcPr>
            <w:tcW w:w="1384" w:type="dxa"/>
            <w:tcBorders>
              <w:left w:val="none" w:sz="8"/>
              <w:right w:val="none" w:sz="8"/>
            </w:tcBorders>
            <w:tcMar>
              <w:top w:w="72" w:type="dxa"/>
              <w:left w:w="120" w:type="dxa"/>
              <w:bottom w:w="72" w:type="dxa"/>
              <w:right w:w="120" w:type="dxa"/>
            </w:tcMar>
            <w:vAlign w:val="center"/>
          </w:tcPr>
          <w:p w14:paraId="45769934">
            <w:pPr>
              <w:jc w:val="left"/>
              <w:rPr>
                <w:color w:val="000000"/>
              </w:rPr>
            </w:pPr>
            <w:r>
              <w:rPr>
                <w:rFonts w:ascii="Times New Roman" w:hAnsi="Times New Roman" w:eastAsia="Times New Roman" w:cs="Times New Roman"/>
                <w:color w:val="000000"/>
                <w:sz w:val="21"/>
              </w:rPr>
              <w:t>Lavrijsen 2021</w:t>
            </w:r>
          </w:p>
        </w:tc>
      </w:tr>
      <w:tr>
        <w:trPr/>
        <w:tc>
          <w:tcPr>
            <w:tcW w:w="1384" w:type="dxa"/>
            <w:tcBorders>
              <w:left w:val="none" w:sz="8"/>
              <w:right w:val="none" w:sz="8"/>
            </w:tcBorders>
            <w:tcMar>
              <w:top w:w="72" w:type="dxa"/>
              <w:left w:w="120" w:type="dxa"/>
              <w:bottom w:w="72" w:type="dxa"/>
              <w:right w:w="120" w:type="dxa"/>
            </w:tcMar>
            <w:vAlign w:val="center"/>
          </w:tcPr>
          <w:p w14:paraId="12613EAF">
            <w:pPr>
              <w:jc w:val="left"/>
              <w:rPr>
                <w:color w:val="000000"/>
              </w:rPr>
            </w:pPr>
            <w:r>
              <w:rPr>
                <w:rFonts w:ascii="Times New Roman" w:hAnsi="Times New Roman" w:eastAsia="Times New Roman" w:cs="Times New Roman"/>
                <w:color w:val="000000"/>
                <w:sz w:val="21"/>
              </w:rPr>
              <w:t>CrtI, E. agglomerans</w:t>
            </w:r>
          </w:p>
        </w:tc>
        <w:tc>
          <w:tcPr>
            <w:tcW w:w="1384" w:type="dxa"/>
            <w:tcBorders>
              <w:left w:val="none" w:sz="8"/>
              <w:right w:val="none" w:sz="8"/>
            </w:tcBorders>
            <w:tcMar>
              <w:top w:w="72" w:type="dxa"/>
              <w:left w:w="120" w:type="dxa"/>
              <w:bottom w:w="72" w:type="dxa"/>
              <w:right w:w="120" w:type="dxa"/>
            </w:tcMar>
            <w:vAlign w:val="center"/>
          </w:tcPr>
          <w:p w14:paraId="1C3DFE8C">
            <w:pPr>
              <w:jc w:val="left"/>
              <w:rPr>
                <w:color w:val="000000"/>
              </w:rPr>
            </w:pPr>
            <w:r>
              <w:rPr>
                <w:rFonts w:ascii="Times New Roman" w:hAnsi="Times New Roman" w:eastAsia="Times New Roman" w:cs="Times New Roman"/>
                <w:color w:val="000000"/>
                <w:sz w:val="21"/>
              </w:rPr>
              <w:t>E9LFG2</w:t>
            </w:r>
          </w:p>
        </w:tc>
        <w:tc>
          <w:tcPr>
            <w:tcW w:w="1384" w:type="dxa"/>
            <w:tcBorders>
              <w:left w:val="none" w:sz="8"/>
              <w:right w:val="none" w:sz="8"/>
            </w:tcBorders>
            <w:tcMar>
              <w:top w:w="72" w:type="dxa"/>
              <w:left w:w="120" w:type="dxa"/>
              <w:bottom w:w="72" w:type="dxa"/>
              <w:right w:w="120" w:type="dxa"/>
            </w:tcMar>
            <w:vAlign w:val="center"/>
          </w:tcPr>
          <w:p w14:paraId="324AEFB7">
            <w:pPr>
              <w:jc w:val="left"/>
              <w:rPr>
                <w:color w:val="000000"/>
              </w:rPr>
            </w:pPr>
            <w:r>
              <w:rPr>
                <w:rFonts w:ascii="Times New Roman" w:hAnsi="Times New Roman" w:eastAsia="Times New Roman" w:cs="Times New Roman"/>
                <w:color w:val="000000"/>
                <w:sz w:val="21"/>
              </w:rPr>
              <w:t>phytoene</w:t>
            </w:r>
          </w:p>
        </w:tc>
        <w:tc>
          <w:tcPr>
            <w:tcW w:w="1384" w:type="dxa"/>
            <w:tcBorders>
              <w:left w:val="none" w:sz="8"/>
              <w:right w:val="none" w:sz="8"/>
            </w:tcBorders>
            <w:tcMar>
              <w:top w:w="72" w:type="dxa"/>
              <w:left w:w="120" w:type="dxa"/>
              <w:bottom w:w="72" w:type="dxa"/>
              <w:right w:w="120" w:type="dxa"/>
            </w:tcMar>
            <w:vAlign w:val="center"/>
          </w:tcPr>
          <w:p w14:paraId="5B736612">
            <w:pPr>
              <w:jc w:val="left"/>
              <w:rPr>
                <w:color w:val="000000"/>
              </w:rPr>
            </w:pPr>
            <w:r>
              <w:rPr>
                <w:rFonts w:ascii="Times New Roman" w:hAnsi="Times New Roman" w:eastAsia="Times New Roman" w:cs="Times New Roman"/>
                <w:color w:val="000000"/>
                <w:sz w:val="21"/>
              </w:rPr>
              <w:t>0.1</w:t>
            </w:r>
          </w:p>
        </w:tc>
        <w:tc>
          <w:tcPr>
            <w:tcW w:w="1384" w:type="dxa"/>
            <w:tcBorders>
              <w:left w:val="none" w:sz="8"/>
              <w:right w:val="none" w:sz="8"/>
            </w:tcBorders>
            <w:tcMar>
              <w:top w:w="72" w:type="dxa"/>
              <w:left w:w="120" w:type="dxa"/>
              <w:bottom w:w="72" w:type="dxa"/>
              <w:right w:w="120" w:type="dxa"/>
            </w:tcMar>
            <w:vAlign w:val="center"/>
          </w:tcPr>
          <w:p w14:paraId="619A076C">
            <w:pPr>
              <w:jc w:val="left"/>
              <w:rPr>
                <w:color w:val="000000"/>
              </w:rPr>
            </w:pPr>
            <w:r>
              <w:rPr>
                <w:rFonts w:ascii="Times New Roman" w:hAnsi="Times New Roman" w:eastAsia="Times New Roman" w:cs="Times New Roman"/>
                <w:color w:val="000000"/>
                <w:sz w:val="21"/>
              </w:rPr>
              <w:t>0.85</w:t>
            </w:r>
          </w:p>
        </w:tc>
        <w:tc>
          <w:tcPr>
            <w:tcW w:w="1384" w:type="dxa"/>
            <w:tcBorders>
              <w:left w:val="none" w:sz="8"/>
              <w:right w:val="none" w:sz="8"/>
            </w:tcBorders>
            <w:tcMar>
              <w:top w:w="72" w:type="dxa"/>
              <w:left w:w="120" w:type="dxa"/>
              <w:bottom w:w="72" w:type="dxa"/>
              <w:right w:w="120" w:type="dxa"/>
            </w:tcMar>
            <w:vAlign w:val="center"/>
          </w:tcPr>
          <w:p w14:paraId="421C4954">
            <w:pPr>
              <w:jc w:val="left"/>
              <w:rPr>
                <w:color w:val="000000"/>
              </w:rPr>
            </w:pPr>
            <w:r>
              <w:rPr>
                <w:rFonts w:ascii="Times New Roman" w:hAnsi="Times New Roman" w:eastAsia="Times New Roman" w:cs="Times New Roman"/>
                <w:color w:val="000000"/>
                <w:sz w:val="21"/>
              </w:rPr>
              <w:t>Lavrijsen 2021</w:t>
            </w:r>
          </w:p>
        </w:tc>
      </w:tr>
      <w:tr>
        <w:trPr/>
        <w:tc>
          <w:tcPr>
            <w:tcW w:w="1384" w:type="dxa"/>
            <w:tcBorders>
              <w:left w:val="none" w:sz="8"/>
              <w:right w:val="none" w:sz="8"/>
            </w:tcBorders>
            <w:tcMar>
              <w:top w:w="72" w:type="dxa"/>
              <w:left w:w="120" w:type="dxa"/>
              <w:bottom w:w="72" w:type="dxa"/>
              <w:right w:w="120" w:type="dxa"/>
            </w:tcMar>
            <w:vAlign w:val="center"/>
          </w:tcPr>
          <w:p w14:paraId="5916036A">
            <w:pPr>
              <w:jc w:val="left"/>
              <w:rPr>
                <w:color w:val="000000"/>
              </w:rPr>
            </w:pPr>
            <w:r>
              <w:rPr>
                <w:rFonts w:ascii="Times New Roman" w:hAnsi="Times New Roman" w:eastAsia="Times New Roman" w:cs="Times New Roman"/>
                <w:color w:val="000000"/>
                <w:sz w:val="21"/>
              </w:rPr>
              <w:t>CrtI, X. dendrorhous (in vivo)</w:t>
            </w:r>
          </w:p>
        </w:tc>
        <w:tc>
          <w:tcPr>
            <w:tcW w:w="1384" w:type="dxa"/>
            <w:tcBorders>
              <w:left w:val="none" w:sz="8"/>
              <w:right w:val="none" w:sz="8"/>
            </w:tcBorders>
            <w:tcMar>
              <w:top w:w="72" w:type="dxa"/>
              <w:left w:w="120" w:type="dxa"/>
              <w:bottom w:w="72" w:type="dxa"/>
              <w:right w:w="120" w:type="dxa"/>
            </w:tcMar>
            <w:vAlign w:val="center"/>
          </w:tcPr>
          <w:p w14:paraId="32B85319">
            <w:pPr>
              <w:jc w:val="left"/>
              <w:rPr>
                <w:color w:val="000000"/>
              </w:rPr>
            </w:pPr>
            <w:r>
              <w:rPr>
                <w:rFonts w:ascii="Times New Roman" w:hAnsi="Times New Roman" w:eastAsia="Times New Roman" w:cs="Times New Roman"/>
                <w:color w:val="000000"/>
                <w:sz w:val="21"/>
              </w:rPr>
              <w:t>A0A0P0KMF9</w:t>
            </w:r>
          </w:p>
        </w:tc>
        <w:tc>
          <w:tcPr>
            <w:tcW w:w="1384" w:type="dxa"/>
            <w:tcBorders>
              <w:left w:val="none" w:sz="8"/>
              <w:right w:val="none" w:sz="8"/>
            </w:tcBorders>
            <w:tcMar>
              <w:top w:w="72" w:type="dxa"/>
              <w:left w:w="120" w:type="dxa"/>
              <w:bottom w:w="72" w:type="dxa"/>
              <w:right w:w="120" w:type="dxa"/>
            </w:tcMar>
            <w:vAlign w:val="center"/>
          </w:tcPr>
          <w:p w14:paraId="40556038">
            <w:pPr>
              <w:jc w:val="left"/>
              <w:rPr>
                <w:color w:val="000000"/>
              </w:rPr>
            </w:pPr>
            <w:r>
              <w:rPr>
                <w:rFonts w:ascii="Times New Roman" w:hAnsi="Times New Roman" w:eastAsia="Times New Roman" w:cs="Times New Roman"/>
                <w:color w:val="000000"/>
                <w:sz w:val="21"/>
              </w:rPr>
              <w:t>phytoene</w:t>
            </w:r>
          </w:p>
        </w:tc>
        <w:tc>
          <w:tcPr>
            <w:tcW w:w="1384" w:type="dxa"/>
            <w:tcBorders>
              <w:left w:val="none" w:sz="8"/>
              <w:right w:val="none" w:sz="8"/>
            </w:tcBorders>
            <w:tcMar>
              <w:top w:w="72" w:type="dxa"/>
              <w:left w:w="120" w:type="dxa"/>
              <w:bottom w:w="72" w:type="dxa"/>
              <w:right w:w="120" w:type="dxa"/>
            </w:tcMar>
            <w:vAlign w:val="center"/>
          </w:tcPr>
          <w:p w14:paraId="2CF32092">
            <w:pPr>
              <w:jc w:val="left"/>
              <w:rPr>
                <w:color w:val="000000"/>
              </w:rPr>
            </w:pPr>
            <w:r>
              <w:rPr>
                <w:rFonts w:ascii="Times New Roman" w:hAnsi="Times New Roman" w:eastAsia="Times New Roman" w:cs="Times New Roman"/>
                <w:color w:val="000000"/>
                <w:sz w:val="21"/>
              </w:rPr>
              <w:t>0.030</w:t>
            </w:r>
          </w:p>
        </w:tc>
        <w:tc>
          <w:tcPr>
            <w:tcW w:w="1384" w:type="dxa"/>
            <w:tcBorders>
              <w:left w:val="none" w:sz="8"/>
              <w:right w:val="none" w:sz="8"/>
            </w:tcBorders>
            <w:tcMar>
              <w:top w:w="72" w:type="dxa"/>
              <w:left w:w="120" w:type="dxa"/>
              <w:bottom w:w="72" w:type="dxa"/>
              <w:right w:w="120" w:type="dxa"/>
            </w:tcMar>
            <w:vAlign w:val="center"/>
          </w:tcPr>
          <w:p w14:paraId="55E33A7A">
            <w:pPr>
              <w:jc w:val="left"/>
              <w:rPr>
                <w:color w:val="000000"/>
              </w:rPr>
            </w:pPr>
            <w:r>
              <w:rPr>
                <w:rFonts w:ascii="Times New Roman" w:hAnsi="Times New Roman" w:eastAsia="Times New Roman" w:cs="Times New Roman"/>
                <w:color w:val="000000"/>
                <w:sz w:val="21"/>
              </w:rPr>
              <w:t>1.3</w:t>
            </w:r>
          </w:p>
        </w:tc>
        <w:tc>
          <w:tcPr>
            <w:tcW w:w="1384" w:type="dxa"/>
            <w:tcBorders>
              <w:left w:val="none" w:sz="8"/>
              <w:right w:val="none" w:sz="8"/>
            </w:tcBorders>
            <w:tcMar>
              <w:top w:w="72" w:type="dxa"/>
              <w:left w:w="120" w:type="dxa"/>
              <w:bottom w:w="72" w:type="dxa"/>
              <w:right w:w="120" w:type="dxa"/>
            </w:tcMar>
            <w:vAlign w:val="center"/>
          </w:tcPr>
          <w:p w14:paraId="62D51EDF">
            <w:pPr>
              <w:jc w:val="left"/>
              <w:rPr>
                <w:color w:val="000000"/>
              </w:rPr>
            </w:pPr>
            <w:r>
              <w:rPr>
                <w:rFonts w:ascii="Times New Roman" w:hAnsi="Times New Roman" w:eastAsia="Times New Roman" w:cs="Times New Roman"/>
                <w:color w:val="000000"/>
                <w:sz w:val="21"/>
              </w:rPr>
              <w:t>Berviller-Magnan 2024</w:t>
            </w:r>
          </w:p>
        </w:tc>
      </w:tr>
      <w:tr>
        <w:trPr/>
        <w:tc>
          <w:tcPr>
            <w:tcW w:w="1384" w:type="dxa"/>
            <w:tcBorders>
              <w:left w:val="none" w:sz="8"/>
              <w:right w:val="none" w:sz="8"/>
            </w:tcBorders>
            <w:tcMar>
              <w:top w:w="72" w:type="dxa"/>
              <w:left w:w="120" w:type="dxa"/>
              <w:bottom w:w="72" w:type="dxa"/>
              <w:right w:w="120" w:type="dxa"/>
            </w:tcMar>
            <w:vAlign w:val="center"/>
          </w:tcPr>
          <w:p w14:paraId="0A07C021">
            <w:pPr>
              <w:jc w:val="left"/>
              <w:rPr>
                <w:color w:val="000000"/>
              </w:rPr>
            </w:pPr>
            <w:r>
              <w:rPr>
                <w:rFonts w:ascii="Times New Roman" w:hAnsi="Times New Roman" w:eastAsia="Times New Roman" w:cs="Times New Roman"/>
                <w:color w:val="000000"/>
                <w:sz w:val="21"/>
              </w:rPr>
              <w:t>BTS1, S. cerevisiae</w:t>
            </w:r>
          </w:p>
        </w:tc>
        <w:tc>
          <w:tcPr>
            <w:tcW w:w="1384" w:type="dxa"/>
            <w:tcBorders>
              <w:left w:val="none" w:sz="8"/>
              <w:right w:val="none" w:sz="8"/>
            </w:tcBorders>
            <w:tcMar>
              <w:top w:w="72" w:type="dxa"/>
              <w:left w:w="120" w:type="dxa"/>
              <w:bottom w:w="72" w:type="dxa"/>
              <w:right w:w="120" w:type="dxa"/>
            </w:tcMar>
            <w:vAlign w:val="center"/>
          </w:tcPr>
          <w:p w14:paraId="1446AC2D">
            <w:pPr>
              <w:jc w:val="left"/>
              <w:rPr>
                <w:color w:val="000000"/>
              </w:rPr>
            </w:pPr>
            <w:r>
              <w:rPr>
                <w:rFonts w:ascii="Times New Roman" w:hAnsi="Times New Roman" w:eastAsia="Times New Roman" w:cs="Times New Roman"/>
                <w:color w:val="000000"/>
                <w:sz w:val="21"/>
              </w:rPr>
              <w:t>Q12051</w:t>
            </w:r>
          </w:p>
        </w:tc>
        <w:tc>
          <w:tcPr>
            <w:tcW w:w="1384" w:type="dxa"/>
            <w:tcBorders>
              <w:left w:val="none" w:sz="8"/>
              <w:right w:val="none" w:sz="8"/>
            </w:tcBorders>
            <w:tcMar>
              <w:top w:w="72" w:type="dxa"/>
              <w:left w:w="120" w:type="dxa"/>
              <w:bottom w:w="72" w:type="dxa"/>
              <w:right w:w="120" w:type="dxa"/>
            </w:tcMar>
            <w:vAlign w:val="center"/>
          </w:tcPr>
          <w:p w14:paraId="3D3D26FE">
            <w:pPr>
              <w:jc w:val="left"/>
              <w:rPr>
                <w:color w:val="000000"/>
              </w:rPr>
            </w:pPr>
            <w:r>
              <w:rPr>
                <w:rFonts w:ascii="Times New Roman" w:hAnsi="Times New Roman" w:eastAsia="Times New Roman" w:cs="Times New Roman"/>
                <w:color w:val="000000"/>
                <w:sz w:val="21"/>
              </w:rPr>
              <w:t>FPP</w:t>
            </w:r>
          </w:p>
        </w:tc>
        <w:tc>
          <w:tcPr>
            <w:tcW w:w="1384" w:type="dxa"/>
            <w:tcBorders>
              <w:left w:val="none" w:sz="8"/>
              <w:right w:val="none" w:sz="8"/>
            </w:tcBorders>
            <w:tcMar>
              <w:top w:w="72" w:type="dxa"/>
              <w:left w:w="120" w:type="dxa"/>
              <w:bottom w:w="72" w:type="dxa"/>
              <w:right w:w="120" w:type="dxa"/>
            </w:tcMar>
            <w:vAlign w:val="center"/>
          </w:tcPr>
          <w:p w14:paraId="69B52E03">
            <w:pPr>
              <w:jc w:val="left"/>
              <w:rPr>
                <w:color w:val="000000"/>
              </w:rPr>
            </w:pPr>
            <w:r>
              <w:rPr>
                <w:rFonts w:ascii="Times New Roman" w:hAnsi="Times New Roman" w:eastAsia="Times New Roman" w:cs="Times New Roman"/>
                <w:color w:val="000000"/>
                <w:sz w:val="21"/>
              </w:rPr>
              <w:t>0.025</w:t>
            </w:r>
          </w:p>
        </w:tc>
        <w:tc>
          <w:tcPr>
            <w:tcW w:w="1384" w:type="dxa"/>
            <w:tcBorders>
              <w:left w:val="none" w:sz="8"/>
              <w:right w:val="none" w:sz="8"/>
            </w:tcBorders>
            <w:tcMar>
              <w:top w:w="72" w:type="dxa"/>
              <w:left w:w="120" w:type="dxa"/>
              <w:bottom w:w="72" w:type="dxa"/>
              <w:right w:w="120" w:type="dxa"/>
            </w:tcMar>
            <w:vAlign w:val="center"/>
          </w:tcPr>
          <w:p w14:paraId="59CD6998">
            <w:pPr>
              <w:jc w:val="left"/>
              <w:rPr>
                <w:color w:val="000000"/>
              </w:rPr>
            </w:pPr>
            <w:r>
              <w:rPr>
                <w:rFonts w:ascii="Times New Roman" w:hAnsi="Times New Roman" w:eastAsia="Times New Roman" w:cs="Times New Roman"/>
                <w:color w:val="000000"/>
                <w:sz w:val="21"/>
              </w:rPr>
              <w:t>0.036</w:t>
            </w:r>
          </w:p>
        </w:tc>
        <w:tc>
          <w:tcPr>
            <w:tcW w:w="1384" w:type="dxa"/>
            <w:tcBorders>
              <w:left w:val="none" w:sz="8"/>
              <w:right w:val="none" w:sz="8"/>
            </w:tcBorders>
            <w:tcMar>
              <w:top w:w="72" w:type="dxa"/>
              <w:left w:w="120" w:type="dxa"/>
              <w:bottom w:w="72" w:type="dxa"/>
              <w:right w:w="120" w:type="dxa"/>
            </w:tcMar>
            <w:vAlign w:val="center"/>
          </w:tcPr>
          <w:p w14:paraId="2C63516A">
            <w:pPr>
              <w:jc w:val="left"/>
              <w:rPr>
                <w:color w:val="000000"/>
              </w:rPr>
            </w:pPr>
            <w:r>
              <w:rPr>
                <w:rFonts w:ascii="Times New Roman" w:hAnsi="Times New Roman" w:eastAsia="Times New Roman" w:cs="Times New Roman"/>
                <w:color w:val="000000"/>
                <w:sz w:val="21"/>
              </w:rPr>
              <w:t>Chang 2006</w:t>
            </w:r>
          </w:p>
        </w:tc>
      </w:tr>
      <w:tr>
        <w:trPr/>
        <w:tc>
          <w:tcPr>
            <w:tcW w:w="1384" w:type="dxa"/>
            <w:tcBorders>
              <w:left w:val="none" w:sz="8"/>
              <w:bottom w:val="single" w:color="000000" w:sz="12"/>
              <w:right w:val="none" w:sz="8"/>
            </w:tcBorders>
            <w:tcMar>
              <w:top w:w="72" w:type="dxa"/>
              <w:left w:w="120" w:type="dxa"/>
              <w:bottom w:w="72" w:type="dxa"/>
              <w:right w:w="120" w:type="dxa"/>
            </w:tcMar>
            <w:vAlign w:val="center"/>
          </w:tcPr>
          <w:p w14:paraId="553A13C4">
            <w:pPr>
              <w:jc w:val="left"/>
              <w:rPr>
                <w:color w:val="000000"/>
              </w:rPr>
            </w:pPr>
            <w:r>
              <w:rPr>
                <w:rFonts w:ascii="Times New Roman" w:hAnsi="Times New Roman" w:eastAsia="Times New Roman" w:cs="Times New Roman"/>
                <w:color w:val="000000"/>
                <w:sz w:val="21"/>
              </w:rPr>
              <w:t>CrtI, R. capsulatus</w:t>
            </w:r>
          </w:p>
        </w:tc>
        <w:tc>
          <w:tcPr>
            <w:tcW w:w="1384" w:type="dxa"/>
            <w:tcBorders>
              <w:left w:val="none" w:sz="8"/>
              <w:bottom w:val="single" w:color="000000" w:sz="12"/>
              <w:right w:val="none" w:sz="8"/>
            </w:tcBorders>
            <w:tcMar>
              <w:top w:w="72" w:type="dxa"/>
              <w:left w:w="120" w:type="dxa"/>
              <w:bottom w:w="72" w:type="dxa"/>
              <w:right w:w="120" w:type="dxa"/>
            </w:tcMar>
            <w:vAlign w:val="center"/>
          </w:tcPr>
          <w:p w14:paraId="22F51A58">
            <w:pPr>
              <w:jc w:val="left"/>
              <w:rPr>
                <w:color w:val="000000"/>
              </w:rPr>
            </w:pPr>
            <w:r>
              <w:rPr>
                <w:rFonts w:ascii="Times New Roman" w:hAnsi="Times New Roman" w:eastAsia="Times New Roman" w:cs="Times New Roman"/>
                <w:color w:val="000000"/>
                <w:sz w:val="21"/>
              </w:rPr>
              <w:t>P17054</w:t>
            </w:r>
          </w:p>
        </w:tc>
        <w:tc>
          <w:tcPr>
            <w:tcW w:w="1384" w:type="dxa"/>
            <w:tcBorders>
              <w:left w:val="none" w:sz="8"/>
              <w:bottom w:val="single" w:color="000000" w:sz="12"/>
              <w:right w:val="none" w:sz="8"/>
            </w:tcBorders>
            <w:tcMar>
              <w:top w:w="72" w:type="dxa"/>
              <w:left w:w="120" w:type="dxa"/>
              <w:bottom w:w="72" w:type="dxa"/>
              <w:right w:w="120" w:type="dxa"/>
            </w:tcMar>
            <w:vAlign w:val="center"/>
          </w:tcPr>
          <w:p w14:paraId="75368CFF">
            <w:pPr>
              <w:jc w:val="left"/>
              <w:rPr>
                <w:color w:val="000000"/>
              </w:rPr>
            </w:pPr>
            <w:r>
              <w:rPr>
                <w:rFonts w:ascii="Times New Roman" w:hAnsi="Times New Roman" w:eastAsia="Times New Roman" w:cs="Times New Roman"/>
                <w:color w:val="000000"/>
                <w:sz w:val="21"/>
              </w:rPr>
              <w:t>phytoene</w:t>
            </w:r>
          </w:p>
        </w:tc>
        <w:tc>
          <w:tcPr>
            <w:tcW w:w="1384" w:type="dxa"/>
            <w:tcBorders>
              <w:left w:val="none" w:sz="8"/>
              <w:bottom w:val="single" w:color="000000" w:sz="12"/>
              <w:right w:val="none" w:sz="8"/>
            </w:tcBorders>
            <w:tcMar>
              <w:top w:w="72" w:type="dxa"/>
              <w:left w:w="120" w:type="dxa"/>
              <w:bottom w:w="72" w:type="dxa"/>
              <w:right w:w="120" w:type="dxa"/>
            </w:tcMar>
            <w:vAlign w:val="center"/>
          </w:tcPr>
          <w:p w14:paraId="20BF8562">
            <w:pPr>
              <w:jc w:val="left"/>
              <w:rPr>
                <w:color w:val="000000"/>
              </w:rPr>
            </w:pPr>
            <w:r>
              <w:rPr>
                <w:rFonts w:ascii="Times New Roman" w:hAnsi="Times New Roman" w:eastAsia="Times New Roman" w:cs="Times New Roman"/>
                <w:color w:val="000000"/>
                <w:sz w:val="21"/>
              </w:rPr>
              <w:t>0.003</w:t>
            </w:r>
          </w:p>
        </w:tc>
        <w:tc>
          <w:tcPr>
            <w:tcW w:w="1384" w:type="dxa"/>
            <w:tcBorders>
              <w:left w:val="none" w:sz="8"/>
              <w:bottom w:val="single" w:color="000000" w:sz="12"/>
              <w:right w:val="none" w:sz="8"/>
            </w:tcBorders>
            <w:tcMar>
              <w:top w:w="72" w:type="dxa"/>
              <w:left w:w="120" w:type="dxa"/>
              <w:bottom w:w="72" w:type="dxa"/>
              <w:right w:w="120" w:type="dxa"/>
            </w:tcMar>
            <w:vAlign w:val="center"/>
          </w:tcPr>
          <w:p w14:paraId="4B844939">
            <w:pPr>
              <w:jc w:val="left"/>
              <w:rPr>
                <w:color w:val="000000"/>
              </w:rPr>
            </w:pPr>
            <w:r>
              <w:rPr>
                <w:rFonts w:ascii="Times New Roman" w:hAnsi="Times New Roman" w:eastAsia="Times New Roman" w:cs="Times New Roman"/>
                <w:color w:val="000000"/>
                <w:sz w:val="21"/>
              </w:rPr>
              <w:t>1.9</w:t>
            </w:r>
          </w:p>
        </w:tc>
        <w:tc>
          <w:tcPr>
            <w:tcW w:w="1384" w:type="dxa"/>
            <w:tcBorders>
              <w:left w:val="none" w:sz="8"/>
              <w:bottom w:val="single" w:color="000000" w:sz="12"/>
              <w:right w:val="none" w:sz="8"/>
            </w:tcBorders>
            <w:tcMar>
              <w:top w:w="72" w:type="dxa"/>
              <w:left w:w="120" w:type="dxa"/>
              <w:bottom w:w="72" w:type="dxa"/>
              <w:right w:w="120" w:type="dxa"/>
            </w:tcMar>
            <w:vAlign w:val="center"/>
          </w:tcPr>
          <w:p w14:paraId="27118102">
            <w:pPr>
              <w:jc w:val="left"/>
              <w:rPr>
                <w:color w:val="000000"/>
              </w:rPr>
            </w:pPr>
            <w:r>
              <w:rPr>
                <w:rFonts w:ascii="Times New Roman" w:hAnsi="Times New Roman" w:eastAsia="Times New Roman" w:cs="Times New Roman"/>
                <w:color w:val="000000"/>
                <w:sz w:val="21"/>
              </w:rPr>
              <w:t>Lavrijsen 2021</w:t>
            </w:r>
          </w:p>
        </w:tc>
      </w:tr>
    </w:tbl>
    <w:p w14:paraId="44F286C9">
      <w:r>
        <w:rPr>
          <w:rFonts w:hint="eastAsia"/>
          <w:color w:val="888888"/>
          <w:sz w:val="18"/>
        </w:rPr>
        <w:t>[图片: images/fig_case_study.png]</w:t>
      </w:r>
    </w:p>
    <w:p w14:paraId="3AF69209">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color w:val="555555"/>
          <w:sz w:val="21"/>
        </w:rPr>
        <w:t>Fig. 2. Case-study panels: (A) CrtI orthologues; (B) pathway-level enzymes; (C) GGPP synthase family; (D) CrtZ substrate discrimination. Grey band: ±10-fold.</w:t>
      </w:r>
      <w:r>
        <w:rPr>
          <w:rFonts w:ascii="Times New Roman" w:hAnsi="Times New Roman" w:eastAsia="Times New Roman" w:cs="Times New Roman"/>
          <w:b w:val="1"/>
          <w:color w:val="000000"/>
          <w:sz w:val="24"/>
        </w:rPr>
        <w:t>3.5 Proteome-scale prediction for carotenoid enzymes</w:t>
      </w:r>
    </w:p>
    <w:p w14:paraId="7860AFCD">
      <w:pPr>
        <w:spacing w:after="192" w:line="360"/>
        <w:ind w:firstLine="480"/>
        <w:rPr>
          <w:color w:val="000000"/>
        </w:rPr>
      </w:pPr>
      <w:r>
        <w:rPr>
          <w:rFonts w:ascii="Times New Roman" w:hAnsi="Times New Roman" w:eastAsia="Times New Roman" w:cs="Times New Roman"/>
          <w:color w:val="000000"/>
          <w:sz w:val="24"/>
        </w:rPr>
        <w:t>kcat was predicted for 3,725 UniProt carotenoid-related sequences, yielding a median of ~0.2 s</w:t>
      </w:r>
      <w:r>
        <w:rPr>
          <w:vertAlign w:val="superscript"/>
        </w:rPr>
        <w:t>-1</w:t>
      </w:r>
      <w:r>
        <w:rPr>
          <w:rFonts w:ascii="Times New Roman" w:hAnsi="Times New Roman" w:eastAsia="Times New Roman" w:cs="Times New Roman"/>
          <w:color w:val="000000"/>
          <w:sz w:val="24"/>
        </w:rPr>
        <w:t>, consistent with the known sluggishness of membrane-associated terpenoid enzymes relative to central metabolism. This resource supports enzyme selection and pathway modelling for carotenoid cell factories.</w:t>
      </w:r>
    </w:p>
    <w:p w14:paraId="32B64724">
      <w:pPr>
        <w:pStyle w:val="000005"/>
        <w:keepNext w:val="1"/>
        <w:keepLines w:val="1"/>
        <w:spacing w:before="240" w:beforeAutospacing="1" w:after="120" w:afterAutospacing="1" w:line="360"/>
        <w:outlineLvl w:val="2"/>
        <w:rPr>
          <w:color w:val="000000"/>
          <w:sz w:val="32"/>
          <w:szCs w:val="32"/>
        </w:rPr>
      </w:pPr>
      <w:r>
        <w:rPr>
          <w:rFonts w:ascii="Times New Roman" w:hAnsi="Times New Roman" w:eastAsia="Times New Roman" w:cs="Times New Roman"/>
          <w:b w:val="1"/>
          <w:color w:val="000000"/>
          <w:sz w:val="24"/>
        </w:rPr>
        <w:t>3.6 Web server</w:t>
      </w:r>
    </w:p>
    <w:p w14:paraId="081C07A1">
      <w:pPr>
        <w:spacing w:after="192" w:line="360"/>
        <w:ind w:firstLine="480"/>
        <w:rPr>
          <w:color w:val="000000"/>
        </w:rPr>
      </w:pPr>
      <w:r>
        <w:rPr>
          <w:rFonts w:ascii="Times New Roman" w:hAnsi="Times New Roman" w:eastAsia="Times New Roman" w:cs="Times New Roman"/>
          <w:color w:val="000000"/>
          <w:sz w:val="24"/>
        </w:rPr>
        <w:t>The CarotKcat web interface requires only a browser: users upload a FASTA file or paste a sequence, enter a substrate SMILES (with automatic structure rendering), and obtain a downloadable kcat table. The server runs locally or on a laboratory intranet.</w:t>
      </w:r>
    </w:p>
    <w:p w14:paraId="6F0C1897">
      <w:pPr>
        <w:pStyle w:val="000004"/>
        <w:keepNext w:val="1"/>
        <w:keepLines w:val="1"/>
        <w:spacing w:before="384" w:beforeAutospacing="1" w:after="240" w:afterAutospacing="1" w:line="360"/>
        <w:outlineLvl w:val="1"/>
        <w:rPr>
          <w:color w:val="000000"/>
          <w:sz w:val="32"/>
          <w:szCs w:val="32"/>
        </w:rPr>
      </w:pPr>
      <w:r>
        <w:rPr>
          <w:rFonts w:ascii="Times New Roman" w:hAnsi="Times New Roman" w:eastAsia="Times New Roman" w:cs="Times New Roman"/>
          <w:b w:val="1"/>
          <w:color w:val="000000"/>
          <w:sz w:val="30"/>
        </w:rPr>
        <w:t>4. Discussion</w:t>
      </w:r>
    </w:p>
    <w:p w14:paraId="7F61B73A">
      <w:pPr>
        <w:spacing w:after="192" w:line="360"/>
        <w:ind w:firstLine="480"/>
        <w:rPr>
          <w:color w:val="000000"/>
        </w:rPr>
      </w:pPr>
      <w:r>
        <w:rPr>
          <w:rFonts w:ascii="Times New Roman" w:hAnsi="Times New Roman" w:eastAsia="Times New Roman" w:cs="Times New Roman"/>
          <w:color w:val="000000"/>
          <w:sz w:val="24"/>
        </w:rPr>
        <w:t>CarotKcat delivers DLKcat-class accuracy with a lightweight, fully reproducible pipeline and, to our knowledge, the first kcat model explicitly optimised and evaluated for the carotenoid biosynthetic pathway. Three findings deserve emphasis.</w:t>
      </w:r>
    </w:p>
    <w:p w14:paraId="556F8196">
      <w:pPr>
        <w:spacing w:after="192" w:line="360"/>
        <w:ind w:firstLine="480"/>
        <w:rPr>
          <w:color w:val="000000"/>
        </w:rPr>
      </w:pPr>
      <w:r>
        <w:rPr>
          <w:rFonts w:ascii="Times New Roman" w:hAnsi="Times New Roman" w:eastAsia="Times New Roman" w:cs="Times New Roman"/>
          <w:color w:val="000000"/>
          <w:sz w:val="24"/>
        </w:rPr>
        <w:t>First, the evaluation protocol matters. Tree-based models on frozen embeddings excel when test enzymes resemble training enzymes but lose up to half of their correlation under an enzyme-group split, whereas the dual-tower network's advantage appears precisely in the realistic unseen-enzyme regime — a consideration directly relevant to enzyme discovery campaigns.</w:t>
      </w:r>
    </w:p>
    <w:p w14:paraId="033207F8">
      <w:pPr>
        <w:spacing w:after="192" w:line="360"/>
        <w:ind w:firstLine="480"/>
        <w:rPr>
          <w:color w:val="000000"/>
        </w:rPr>
      </w:pPr>
      <w:r>
        <w:rPr>
          <w:rFonts w:ascii="Times New Roman" w:hAnsi="Times New Roman" w:eastAsia="Times New Roman" w:cs="Times New Roman"/>
          <w:color w:val="000000"/>
          <w:sz w:val="24"/>
        </w:rPr>
        <w:t>Second, the case study shows that for kinetically uncharted secondary-metabolism pathways, model predictions and literature measurements carry comparable uncertainty: reported kcat values for individual carotenoid enzymes vary over three orders of magnitude between laboratories and assay formats.</w:t>
      </w:r>
    </w:p>
    <w:p w14:paraId="05161076">
      <w:pPr>
        <w:spacing w:after="192" w:line="360"/>
        <w:ind w:firstLine="480"/>
        <w:rPr>
          <w:color w:val="000000"/>
        </w:rPr>
      </w:pPr>
      <w:r>
        <w:rPr>
          <w:rFonts w:ascii="Times New Roman" w:hAnsi="Times New Roman" w:eastAsia="Times New Roman" w:cs="Times New Roman"/>
          <w:color w:val="000000"/>
          <w:sz w:val="24"/>
        </w:rPr>
        <w:t>Computational predictions can therefore serve as useful priors for enzyme-constrained modelling even where they cannot replace measurement.</w:t>
      </w:r>
    </w:p>
    <w:p w14:paraId="626F45A8">
      <w:pPr>
        <w:spacing w:after="192" w:line="360"/>
        <w:ind w:firstLine="480"/>
        <w:rPr>
          <w:color w:val="000000"/>
        </w:rPr>
      </w:pPr>
      <w:r>
        <w:rPr>
          <w:rFonts w:ascii="Times New Roman" w:hAnsi="Times New Roman" w:eastAsia="Times New Roman" w:cs="Times New Roman"/>
          <w:color w:val="000000"/>
          <w:sz w:val="24"/>
        </w:rPr>
        <w:t>Third, our negative results chart concrete improvements: (i) fingerprint substrate encodings should be replaced by graph neural networks or molecular transformers that can resolve closely related polyene substrates; (ii) the very-low-kcat regime (&lt;0.01 s</w:t>
      </w:r>
      <w:r>
        <w:rPr>
          <w:vertAlign w:val="superscript"/>
        </w:rPr>
        <w:t>-1</w:t>
      </w:r>
      <w:r>
        <w:rPr>
          <w:rFonts w:ascii="Times New Roman" w:hAnsi="Times New Roman" w:eastAsia="Times New Roman" w:cs="Times New Roman"/>
          <w:color w:val="000000"/>
          <w:sz w:val="24"/>
        </w:rPr>
        <w:t>) suffers from training-data scarcity, causing regression to the mean; and (iii) assay conditions (temperature, pH) are rarely annotated and remain unmodelled.</w:t>
      </w:r>
    </w:p>
    <w:p w14:paraId="5D9D78C0">
      <w:pPr>
        <w:spacing w:after="192" w:line="360"/>
        <w:ind w:firstLine="480"/>
        <w:rPr>
          <w:color w:val="000000"/>
        </w:rPr>
      </w:pPr>
      <w:r>
        <w:rPr>
          <w:rFonts w:ascii="Times New Roman" w:hAnsi="Times New Roman" w:eastAsia="Times New Roman" w:cs="Times New Roman"/>
          <w:color w:val="000000"/>
          <w:sz w:val="24"/>
        </w:rPr>
        <w:t>The most direct route to higher accuracy on a specific host or pathway is few-shot fine-tuning with even tens of laboratory-measured kcat values, which our pipeline supports natively.</w:t>
      </w:r>
    </w:p>
    <w:p w14:paraId="048C892A">
      <w:pPr>
        <w:pStyle w:val="000004"/>
        <w:keepNext w:val="1"/>
        <w:keepLines w:val="1"/>
        <w:spacing w:before="384" w:beforeAutospacing="1" w:after="240" w:afterAutospacing="1" w:line="360"/>
        <w:outlineLvl w:val="1"/>
        <w:rPr>
          <w:color w:val="000000"/>
          <w:sz w:val="32"/>
          <w:szCs w:val="32"/>
        </w:rPr>
      </w:pPr>
      <w:r>
        <w:rPr>
          <w:rFonts w:ascii="Times New Roman" w:hAnsi="Times New Roman" w:eastAsia="Times New Roman" w:cs="Times New Roman"/>
          <w:b w:val="1"/>
          <w:color w:val="000000"/>
          <w:sz w:val="30"/>
        </w:rPr>
        <w:t>5. Conclusion</w:t>
      </w:r>
    </w:p>
    <w:p w14:paraId="4CF2423A">
      <w:pPr>
        <w:spacing w:after="192" w:line="360"/>
        <w:ind w:firstLine="480"/>
        <w:rPr>
          <w:color w:val="000000"/>
        </w:rPr>
      </w:pPr>
      <w:r>
        <w:rPr>
          <w:rFonts w:ascii="Times New Roman" w:hAnsi="Times New Roman" w:eastAsia="Times New Roman" w:cs="Times New Roman"/>
          <w:color w:val="000000"/>
          <w:sz w:val="24"/>
        </w:rPr>
        <w:t>CarotKcat predicts enzyme turnover numbers from sequence and substrate with accuracy competitive with state-of-the-art general models, superior robustness to unseen enzymes, validated pathway-level behaviour on carotenoid enzymes, and a zero-barrier web interface.</w:t>
      </w:r>
    </w:p>
    <w:p w14:paraId="2B594425">
      <w:pPr>
        <w:spacing w:after="192" w:line="360"/>
        <w:ind w:firstLine="480"/>
        <w:rPr>
          <w:color w:val="000000"/>
        </w:rPr>
      </w:pPr>
      <w:r>
        <w:rPr>
          <w:rFonts w:ascii="Times New Roman" w:hAnsi="Times New Roman" w:eastAsia="Times New Roman" w:cs="Times New Roman"/>
          <w:color w:val="000000"/>
          <w:sz w:val="24"/>
        </w:rPr>
        <w:t>All code, trained models, curated datasets and predictions are openly available to support carotenoid metabolic engineering and enzyme-constrained modelling.</w:t>
      </w:r>
    </w:p>
    <w:p w14:paraId="1B729EFC">
      <w:pPr>
        <w:pStyle w:val="000004"/>
        <w:keepNext w:val="1"/>
        <w:keepLines w:val="1"/>
        <w:spacing w:before="384" w:beforeAutospacing="1" w:after="240" w:afterAutospacing="1" w:line="360"/>
        <w:outlineLvl w:val="1"/>
        <w:rPr>
          <w:color w:val="000000"/>
          <w:sz w:val="32"/>
          <w:szCs w:val="32"/>
        </w:rPr>
      </w:pPr>
      <w:r>
        <w:rPr>
          <w:rFonts w:ascii="Times New Roman" w:hAnsi="Times New Roman" w:eastAsia="Times New Roman" w:cs="Times New Roman"/>
          <w:b w:val="1"/>
          <w:color w:val="000000"/>
          <w:sz w:val="30"/>
        </w:rPr>
        <w:t>Data and code availability</w:t>
      </w:r>
    </w:p>
    <w:p w14:paraId="37A02C72">
      <w:pPr>
        <w:spacing w:after="192" w:line="360"/>
        <w:ind w:firstLine="480"/>
        <w:rPr>
          <w:color w:val="000000"/>
        </w:rPr>
      </w:pPr>
      <w:r>
        <w:rPr>
          <w:rFonts w:ascii="Times New Roman" w:hAnsi="Times New Roman" w:eastAsia="Times New Roman" w:cs="Times New Roman"/>
          <w:color w:val="000000"/>
          <w:sz w:val="24"/>
        </w:rPr>
        <w:t>GitHub: https://github.com/ZihengHQU/CarotKcat — training and evaluation scripts, trained model weights, the curated 17,051-record dataset, the 3,725-sequence carotenoid prediction set, benchmark and case-study results, and the web server.</w:t>
      </w:r>
    </w:p>
    <w:p w14:paraId="7B4BA785">
      <w:pPr>
        <w:pStyle w:val="000004"/>
        <w:keepNext w:val="1"/>
        <w:keepLines w:val="1"/>
        <w:spacing w:before="384" w:beforeAutospacing="1" w:after="240" w:afterAutospacing="1" w:line="360"/>
        <w:outlineLvl w:val="1"/>
        <w:rPr>
          <w:color w:val="000000"/>
          <w:sz w:val="32"/>
          <w:szCs w:val="32"/>
        </w:rPr>
      </w:pPr>
      <w:r>
        <w:rPr>
          <w:rFonts w:ascii="Times New Roman" w:hAnsi="Times New Roman" w:eastAsia="Times New Roman" w:cs="Times New Roman"/>
          <w:b w:val="1"/>
          <w:color w:val="000000"/>
          <w:sz w:val="30"/>
        </w:rPr>
        <w:t>References</w:t>
      </w:r>
    </w:p>
    <w:p w14:paraId="60FD565A">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Li, F. et al. Deep learning-based kcat prediction enables improved enzyme-constrained model reconstruction. </w:t>
      </w:r>
      <w:r>
        <w:rPr>
          <w:rFonts w:ascii="Times New Roman" w:hAnsi="Times New Roman" w:eastAsia="Times New Roman" w:cs="Times New Roman"/>
          <w:i w:val="1"/>
          <w:color w:val="000000"/>
          <w:sz w:val="21"/>
        </w:rPr>
        <w:t>Nat. Catal.</w:t>
      </w:r>
      <w:r>
        <w:rPr>
          <w:rFonts w:ascii="Times New Roman" w:hAnsi="Times New Roman" w:eastAsia="Times New Roman" w:cs="Times New Roman"/>
          <w:color w:val="000000"/>
          <w:sz w:val="21"/>
        </w:rPr>
        <w:t xml:space="preserve"> 5, 662–672 (2022).</w:t>
      </w:r>
    </w:p>
    <w:p w14:paraId="184CD158">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Kroll, A. et al. Turnover number predictions for kinetically uncharacterized enzymes using machine and deep learning. </w:t>
      </w:r>
      <w:r>
        <w:rPr>
          <w:rFonts w:ascii="Times New Roman" w:hAnsi="Times New Roman" w:eastAsia="Times New Roman" w:cs="Times New Roman"/>
          <w:i w:val="1"/>
          <w:color w:val="000000"/>
          <w:sz w:val="21"/>
        </w:rPr>
        <w:t>Nat. Commun.</w:t>
      </w:r>
      <w:r>
        <w:rPr>
          <w:rFonts w:ascii="Times New Roman" w:hAnsi="Times New Roman" w:eastAsia="Times New Roman" w:cs="Times New Roman"/>
          <w:color w:val="000000"/>
          <w:sz w:val="21"/>
        </w:rPr>
        <w:t xml:space="preserve"> 14, 4139 (2023).</w:t>
      </w:r>
    </w:p>
    <w:p w14:paraId="4E359693">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Yu, T. et al. UniKP: a unified framework for the prediction of enzyme kinetic parameters. </w:t>
      </w:r>
      <w:r>
        <w:rPr>
          <w:rFonts w:ascii="Times New Roman" w:hAnsi="Times New Roman" w:eastAsia="Times New Roman" w:cs="Times New Roman"/>
          <w:i w:val="1"/>
          <w:color w:val="000000"/>
          <w:sz w:val="21"/>
        </w:rPr>
        <w:t>Nat. Commun.</w:t>
      </w:r>
      <w:r>
        <w:rPr>
          <w:rFonts w:ascii="Times New Roman" w:hAnsi="Times New Roman" w:eastAsia="Times New Roman" w:cs="Times New Roman"/>
          <w:color w:val="000000"/>
          <w:sz w:val="21"/>
        </w:rPr>
        <w:t xml:space="preserve"> 14, 8211 (2023).</w:t>
      </w:r>
    </w:p>
    <w:p w14:paraId="3C9EA0CA">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Lin, Z. et al. Evolutionary-scale prediction of atomic-level protein structure with a language model. </w:t>
      </w:r>
      <w:r>
        <w:rPr>
          <w:rFonts w:ascii="Times New Roman" w:hAnsi="Times New Roman" w:eastAsia="Times New Roman" w:cs="Times New Roman"/>
          <w:i w:val="1"/>
          <w:color w:val="000000"/>
          <w:sz w:val="21"/>
        </w:rPr>
        <w:t>Science</w:t>
      </w:r>
      <w:r>
        <w:rPr>
          <w:rFonts w:ascii="Times New Roman" w:hAnsi="Times New Roman" w:eastAsia="Times New Roman" w:cs="Times New Roman"/>
          <w:color w:val="000000"/>
          <w:sz w:val="21"/>
        </w:rPr>
        <w:t xml:space="preserve"> 379, 1123–1130 (2023).</w:t>
      </w:r>
    </w:p>
    <w:p w14:paraId="3DCCF50D">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Iwata-Reuyl, D., Math, S. K., Desai, S. B. &amp; Poulter, C. D. Bacterial phytoene synthase: molecular cloning, expression, and characterization of Erwinia herbicola phytoene synthase. </w:t>
      </w:r>
      <w:r>
        <w:rPr>
          <w:rFonts w:ascii="Times New Roman" w:hAnsi="Times New Roman" w:eastAsia="Times New Roman" w:cs="Times New Roman"/>
          <w:i w:val="1"/>
          <w:color w:val="000000"/>
          <w:sz w:val="21"/>
        </w:rPr>
        <w:t>Biochemistry</w:t>
      </w:r>
      <w:r>
        <w:rPr>
          <w:rFonts w:ascii="Times New Roman" w:hAnsi="Times New Roman" w:eastAsia="Times New Roman" w:cs="Times New Roman"/>
          <w:color w:val="000000"/>
          <w:sz w:val="21"/>
        </w:rPr>
        <w:t xml:space="preserve"> 42, 3359–3365 (2003).</w:t>
      </w:r>
    </w:p>
    <w:p w14:paraId="41D1F8D5">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Berviller-Magnan, C. et al. Combining systems and synthetic biology for in vivo enzymology. </w:t>
      </w:r>
      <w:r>
        <w:rPr>
          <w:rFonts w:ascii="Times New Roman" w:hAnsi="Times New Roman" w:eastAsia="Times New Roman" w:cs="Times New Roman"/>
          <w:i w:val="1"/>
          <w:color w:val="000000"/>
          <w:sz w:val="21"/>
        </w:rPr>
        <w:t>Mol. Syst. Biol.</w:t>
      </w:r>
      <w:r>
        <w:rPr>
          <w:rFonts w:ascii="Times New Roman" w:hAnsi="Times New Roman" w:eastAsia="Times New Roman" w:cs="Times New Roman"/>
          <w:color w:val="000000"/>
          <w:sz w:val="21"/>
        </w:rPr>
        <w:t xml:space="preserve"> (2024).</w:t>
      </w:r>
    </w:p>
    <w:p w14:paraId="44155FCD">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Lavrijsen, M. et al. Multiplicity of carotene patterns derives from competition between phytoene desaturase diversification and biological environments. </w:t>
      </w:r>
      <w:r>
        <w:rPr>
          <w:rFonts w:ascii="Times New Roman" w:hAnsi="Times New Roman" w:eastAsia="Times New Roman" w:cs="Times New Roman"/>
          <w:i w:val="1"/>
          <w:color w:val="000000"/>
          <w:sz w:val="21"/>
        </w:rPr>
        <w:t>Sci. Rep.</w:t>
      </w:r>
      <w:r>
        <w:rPr>
          <w:rFonts w:ascii="Times New Roman" w:hAnsi="Times New Roman" w:eastAsia="Times New Roman" w:cs="Times New Roman"/>
          <w:color w:val="000000"/>
          <w:sz w:val="21"/>
        </w:rPr>
        <w:t xml:space="preserve"> 11, 26 (2021).</w:t>
      </w:r>
    </w:p>
    <w:p w14:paraId="6C52C70B">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Schaub, P. et al. On the structure and function of the phytoene desaturase CRTI from Pantoea ananatis. </w:t>
      </w:r>
      <w:r>
        <w:rPr>
          <w:rFonts w:ascii="Times New Roman" w:hAnsi="Times New Roman" w:eastAsia="Times New Roman" w:cs="Times New Roman"/>
          <w:i w:val="1"/>
          <w:color w:val="000000"/>
          <w:sz w:val="21"/>
        </w:rPr>
        <w:t>PLoS ONE</w:t>
      </w:r>
      <w:r>
        <w:rPr>
          <w:rFonts w:ascii="Times New Roman" w:hAnsi="Times New Roman" w:eastAsia="Times New Roman" w:cs="Times New Roman"/>
          <w:color w:val="000000"/>
          <w:sz w:val="21"/>
        </w:rPr>
        <w:t xml:space="preserve"> 7, e39550 (2012).</w:t>
      </w:r>
    </w:p>
    <w:p w14:paraId="05B7B7A1">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Fraser, P. D., Miura, Y. &amp; Misawa, N. In vitro characterization of astaxanthin biosynthetic enzymes. </w:t>
      </w:r>
      <w:r>
        <w:rPr>
          <w:rFonts w:ascii="Times New Roman" w:hAnsi="Times New Roman" w:eastAsia="Times New Roman" w:cs="Times New Roman"/>
          <w:i w:val="1"/>
          <w:color w:val="000000"/>
          <w:sz w:val="21"/>
        </w:rPr>
        <w:t>J. Biol. Chem.</w:t>
      </w:r>
      <w:r>
        <w:rPr>
          <w:rFonts w:ascii="Times New Roman" w:hAnsi="Times New Roman" w:eastAsia="Times New Roman" w:cs="Times New Roman"/>
          <w:color w:val="000000"/>
          <w:sz w:val="21"/>
        </w:rPr>
        <w:t xml:space="preserve"> 272, 6128–6135 (1997).</w:t>
      </w:r>
    </w:p>
    <w:p w14:paraId="585E45D1">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Chang, T. H. et al. Crystal structure of type-III geranylgeranyl pyrophosphate synthase from Saccharomyces cerevisiae. </w:t>
      </w:r>
      <w:r>
        <w:rPr>
          <w:rFonts w:ascii="Times New Roman" w:hAnsi="Times New Roman" w:eastAsia="Times New Roman" w:cs="Times New Roman"/>
          <w:i w:val="1"/>
          <w:color w:val="000000"/>
          <w:sz w:val="21"/>
        </w:rPr>
        <w:t>J. Biol. Chem.</w:t>
      </w:r>
      <w:r>
        <w:rPr>
          <w:rFonts w:ascii="Times New Roman" w:hAnsi="Times New Roman" w:eastAsia="Times New Roman" w:cs="Times New Roman"/>
          <w:color w:val="000000"/>
          <w:sz w:val="21"/>
        </w:rPr>
        <w:t xml:space="preserve"> 281, 14991–15000 (2006).</w:t>
      </w:r>
    </w:p>
    <w:p w14:paraId="09D6A3BA">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Kavanagh, K. L. et al. The crystal structure of human geranylgeranyl pyrophosphate synthase reveals a novel hexameric arrangement. </w:t>
      </w:r>
      <w:r>
        <w:rPr>
          <w:rFonts w:ascii="Times New Roman" w:hAnsi="Times New Roman" w:eastAsia="Times New Roman" w:cs="Times New Roman"/>
          <w:i w:val="1"/>
          <w:color w:val="000000"/>
          <w:sz w:val="21"/>
        </w:rPr>
        <w:t>J. Biol. Chem.</w:t>
      </w:r>
      <w:r>
        <w:rPr>
          <w:rFonts w:ascii="Times New Roman" w:hAnsi="Times New Roman" w:eastAsia="Times New Roman" w:cs="Times New Roman"/>
          <w:color w:val="000000"/>
          <w:sz w:val="21"/>
        </w:rPr>
        <w:t xml:space="preserve"> 281, 22004–22012 (2006).</w:t>
      </w:r>
    </w:p>
    <w:p w14:paraId="1B44696B">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Heider, S. A. E. et al. IdsA is the major geranylgeranyl pyrophosphate synthase involved in carotenogenesis in Corynebacterium glutamicum. </w:t>
      </w:r>
      <w:r>
        <w:rPr>
          <w:rFonts w:ascii="Times New Roman" w:hAnsi="Times New Roman" w:eastAsia="Times New Roman" w:cs="Times New Roman"/>
          <w:i w:val="1"/>
          <w:color w:val="000000"/>
          <w:sz w:val="21"/>
        </w:rPr>
        <w:t>FEBS J.</w:t>
      </w:r>
      <w:r>
        <w:rPr>
          <w:rFonts w:ascii="Times New Roman" w:hAnsi="Times New Roman" w:eastAsia="Times New Roman" w:cs="Times New Roman"/>
          <w:color w:val="000000"/>
          <w:sz w:val="21"/>
        </w:rPr>
        <w:t xml:space="preserve"> 281, 4906–4920 (2014).</w:t>
      </w:r>
    </w:p>
    <w:p w14:paraId="3F445089">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Chang, J. et al. BRENDA, the ELIXIR core data resource in 2021. </w:t>
      </w:r>
      <w:r>
        <w:rPr>
          <w:rFonts w:ascii="Times New Roman" w:hAnsi="Times New Roman" w:eastAsia="Times New Roman" w:cs="Times New Roman"/>
          <w:i w:val="1"/>
          <w:color w:val="000000"/>
          <w:sz w:val="21"/>
        </w:rPr>
        <w:t>Nucleic Acids Res.</w:t>
      </w:r>
      <w:r>
        <w:rPr>
          <w:rFonts w:ascii="Times New Roman" w:hAnsi="Times New Roman" w:eastAsia="Times New Roman" w:cs="Times New Roman"/>
          <w:color w:val="000000"/>
          <w:sz w:val="21"/>
        </w:rPr>
        <w:t xml:space="preserve"> 49, D498–D508 (2021).</w:t>
      </w:r>
    </w:p>
    <w:p w14:paraId="469513AA">
      <w:pPr>
        <w:numPr>
          <w:ilvl w:val="0"/>
          <w:numId w:val="1"/>
        </w:numPr>
        <w:pBdr>
          <w:left w:space="24"/>
        </w:pBdr>
        <w:spacing w:before="384" w:after="120" w:line="360"/>
        <w:rPr>
          <w:color w:val="000000"/>
        </w:rPr>
      </w:pPr>
      <w:r>
        <w:rPr>
          <w:rFonts w:ascii="Times New Roman" w:hAnsi="Times New Roman" w:eastAsia="Times New Roman" w:cs="Times New Roman"/>
          <w:color w:val="000000"/>
          <w:sz w:val="21"/>
        </w:rPr>
        <w:t xml:space="preserve">Wittig, U. et al. SABIO-RK: database for biochemical reaction kinetics. </w:t>
      </w:r>
      <w:r>
        <w:rPr>
          <w:rFonts w:ascii="Times New Roman" w:hAnsi="Times New Roman" w:eastAsia="Times New Roman" w:cs="Times New Roman"/>
          <w:i w:val="1"/>
          <w:color w:val="000000"/>
          <w:sz w:val="21"/>
        </w:rPr>
        <w:t>Nucleic Acids Res.</w:t>
      </w:r>
      <w:r>
        <w:rPr>
          <w:rFonts w:ascii="Times New Roman" w:hAnsi="Times New Roman" w:eastAsia="Times New Roman" w:cs="Times New Roman"/>
          <w:color w:val="000000"/>
          <w:sz w:val="21"/>
        </w:rPr>
        <w:t xml:space="preserve"> 40, D790–D796 (2012).</w:t>
      </w:r>
    </w:p>
    <w:p w14:paraId="530DECFB">
      <w:pPr>
        <w:numPr>
          <w:ilvl w:val="0"/>
          <w:numId w:val="1"/>
        </w:numPr>
        <w:pBdr>
          <w:left w:space="24"/>
        </w:pBdr>
        <w:spacing w:before="384" w:after="120" w:line="360"/>
        <w:rPr>
          <w:color w:val="000000"/>
        </w:rPr>
        <w:sectPr>
          <w:footerReference r:id="rId5" w:type="default"/>
          <w:type w:val="nextPage"/>
          <w:pgSz w:w="11906" w:h="16838"/>
          <w:pgMar w:top="1440" w:right="1800" w:bottom="1440" w:left="1800" w:header="851" w:footer="992" w:gutter="0"/>
          <w:pgNumType w:start="1"/>
        </w:sectPr>
      </w:pPr>
      <w:r>
        <w:rPr>
          <w:rFonts w:ascii="Times New Roman" w:hAnsi="Times New Roman" w:eastAsia="Times New Roman" w:cs="Times New Roman"/>
          <w:color w:val="000000"/>
          <w:sz w:val="21"/>
        </w:rPr>
        <w:t xml:space="preserve">The UniProt Consortium. UniProt: the universal protein knowledgebase in 2023. </w:t>
      </w:r>
      <w:r>
        <w:rPr>
          <w:rFonts w:ascii="Times New Roman" w:hAnsi="Times New Roman" w:eastAsia="Times New Roman" w:cs="Times New Roman"/>
          <w:i w:val="1"/>
          <w:color w:val="000000"/>
          <w:sz w:val="21"/>
        </w:rPr>
        <w:t>Nucleic Acids Res.</w:t>
      </w:r>
      <w:r>
        <w:rPr>
          <w:rFonts w:ascii="Times New Roman" w:hAnsi="Times New Roman" w:eastAsia="Times New Roman" w:cs="Times New Roman"/>
          <w:color w:val="000000"/>
          <w:sz w:val="21"/>
        </w:rPr>
        <w:t xml:space="preserve"> 51, D523–D531 (2023).</w:t>
      </w:r>
    </w:p>
    <w:p w14:paraId="3D5618EC"/>
    <w:sectPr>
      <w:footerReference r:id="rId5" w:type="default"/>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0AF6BF3">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num w:numId="1">
    <w:abstractNumId w:val="0"/>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Body Text First Indent 2" w:semiHidden="1" w:unhideWhenUsed="1"/>
    <w:lsdException w:name="index 4" w:semiHidden="1" w:unhideWhenUsed="1"/>
    <w:lsdException w:name="Body Text Indent 2" w:semiHidden="1" w:unhideWhenUsed="1"/>
    <w:lsdException w:name="List 4" w:semiHidden="1" w:unhideWhenUsed="1"/>
    <w:lsdException w:name="line number" w:semiHidden="1" w:unhideWhenUsed="1"/>
    <w:lsdException w:name="heading 3" w:uiPriority="9" w:semiHidden="1" w:unhideWhenUsed="1" w:qFormat="1"/>
    <w:lsdException w:name="toc 5" w:uiPriority="39" w:semiHidden="1" w:unhideWhenUsed="1"/>
    <w:lsdException w:name="List Bullet 3" w:semiHidden="1" w:unhideWhenUsed="1"/>
    <w:lsdException w:name="endnote reference" w:semiHidden="1" w:unhideWhenUsed="1"/>
    <w:lsdException w:name="List Continue 5" w:semiHidden="1" w:unhideWhenUsed="1"/>
    <w:lsdException w:name="List Continue 3" w:semiHidden="1" w:unhideWhenUsed="1"/>
    <w:lsdException w:name="toc 2" w:uiPriority="39" w:semiHidden="1" w:unhideWhenUsed="1"/>
    <w:lsdException w:name="footnote reference" w:semiHidden="1" w:unhideWhenUsed="1"/>
    <w:lsdException w:name="index 1" w:semiHidden="1" w:unhideWhenUsed="1"/>
    <w:lsdException w:name="envelope return" w:semiHidden="1" w:unhideWhenUsed="1"/>
    <w:lsdException w:name="Signature" w:semiHidden="1" w:unhideWhenUsed="1"/>
    <w:lsdException w:name="toa heading" w:semiHidden="1" w:unhideWhenUsed="1"/>
    <w:lsdException w:name="Body Text" w:semiHidden="1" w:unhideWhenUsed="1"/>
    <w:lsdException w:name="heading 8" w:uiPriority="9" w:semiHidden="1" w:unhideWhenUsed="1" w:qFormat="1"/>
    <w:lsdException w:name="heading 1" w:uiPriority="9" w:qFormat="1"/>
    <w:lsdException w:name="List Bullet 4" w:semiHidden="1" w:unhideWhenUsed="1"/>
    <w:lsdException w:name="table of authorities" w:semiHidden="1" w:unhideWhenUsed="1"/>
    <w:lsdException w:name="heading 6" w:uiPriority="9" w:semiHidden="1" w:unhideWhenUsed="1" w:qFormat="1"/>
    <w:lsdException w:name="Body Text Indent 3" w:semiHidden="1" w:unhideWhenUsed="1"/>
    <w:lsdException w:name="footer" w:semiHidden="1" w:unhideWhenUsed="1"/>
    <w:lsdException w:name="Body Text 3" w:semiHidden="1" w:unhideWhenUsed="1"/>
    <w:lsdException w:name="Default Paragraph Font" w:uiPriority="1" w:semiHidden="1" w:unhideWhenUsed="1"/>
    <w:lsdException w:name="List Number" w:semiHidden="1" w:unhideWhenUsed="1"/>
    <w:lsdException w:name="Normal Indent" w:semiHidden="1" w:unhideWhenUsed="1"/>
    <w:lsdException w:name="Message Header" w:semiHidden="1" w:unhideWhenUsed="1"/>
    <w:lsdException w:name="index 7" w:semiHidden="1" w:unhideWhenUsed="1"/>
    <w:lsdException w:name="Subtitle" w:uiPriority="11" w:qFormat="1"/>
    <w:lsdException w:name="footnote text" w:semiHidden="1" w:unhideWhenUsed="1"/>
    <w:lsdException w:name="index 9" w:semiHidden="1" w:unhideWhenUsed="1"/>
    <w:lsdException w:name="Note Heading" w:semiHidden="1" w:unhideWhenUsed="1"/>
    <w:lsdException w:name="Title" w:uiPriority="10" w:qFormat="1"/>
    <w:lsdException w:name="List Continue 2" w:semiHidden="1" w:unhideWhenUsed="1"/>
    <w:lsdException w:name="table of figures" w:semiHidden="1" w:unhideWhenUsed="1"/>
    <w:lsdException w:name="List Bullet" w:semiHidden="1" w:unhideWhenUsed="1"/>
    <w:lsdException w:name="toc 1" w:uiPriority="39" w:semiHidden="1" w:unhideWhenUsed="1"/>
    <w:lsdException w:name="toc 9" w:uiPriority="39" w:semiHidden="1" w:unhideWhenUsed="1"/>
    <w:lsdException w:name="List Number 4" w:semiHidden="1" w:unhideWhenUsed="1"/>
    <w:lsdException w:name="index 2" w:semiHidden="1" w:unhideWhenUsed="1"/>
    <w:lsdException w:name="Body Text First Indent" w:semiHidden="1" w:unhideWhenUsed="1"/>
    <w:lsdException w:name="Closing" w:semiHidden="1" w:unhideWhenUsed="1"/>
    <w:lsdException w:name="annotation reference" w:semiHidden="1" w:unhideWhenUsed="1"/>
    <w:lsdException w:name="Salutation" w:semiHidden="1" w:unhideWhenUsed="1"/>
    <w:lsdException w:name="heading 7" w:uiPriority="9" w:semiHidden="1" w:unhideWhenUsed="1" w:qFormat="1"/>
    <w:lsdException w:name="toc 6" w:uiPriority="39" w:semiHidden="1" w:unhideWhenUsed="1"/>
    <w:lsdException w:name="page number" w:semiHidden="1" w:unhideWhenUsed="1"/>
    <w:lsdException w:name="toc 4" w:uiPriority="39" w:semiHidden="1" w:unhideWhenUsed="1"/>
    <w:lsdException w:name="index heading" w:semiHidden="1" w:unhideWhenUsed="1"/>
    <w:lsdException w:name="heading 5" w:uiPriority="9" w:semiHidden="1" w:unhideWhenUsed="1" w:qFormat="1"/>
    <w:lsdException w:name="Body Text Indent" w:semiHidden="1" w:unhideWhenUsed="1"/>
    <w:lsdException w:name="List Bullet 2" w:semiHidden="1" w:unhideWhenUsed="1"/>
    <w:lsdException w:name="List" w:semiHidden="1" w:unhideWhenUsed="1"/>
    <w:lsdException w:name="Date" w:semiHidden="1" w:unhideWhenUsed="1"/>
    <w:lsdException w:name="List 5" w:semiHidden="1" w:unhideWhenUsed="1"/>
    <w:lsdException w:name="List Continue" w:semiHidden="1" w:unhideWhenUsed="1"/>
    <w:lsdException w:name="List Continue 4" w:semiHidden="1" w:unhideWhenUsed="1"/>
    <w:lsdException w:name="heading 2" w:uiPriority="9" w:semiHidden="1" w:unhideWhenUsed="1" w:qFormat="1"/>
    <w:lsdException w:name="Normal" w:uiPriority="0" w:qFormat="1"/>
    <w:lsdException w:name="List Bullet 5" w:semiHidden="1" w:unhideWhenUsed="1"/>
    <w:lsdException w:name="List Number 5" w:semiHidden="1" w:unhideWhenUsed="1"/>
    <w:lsdException w:name="List Number 3" w:semiHidden="1" w:unhideWhenUsed="1"/>
    <w:lsdException w:name="List 2" w:semiHidden="1" w:unhideWhenUsed="1"/>
    <w:lsdException w:name="macro" w:semiHidden="1" w:unhideWhenUsed="1"/>
    <w:lsdException w:name="Strong" w:uiPriority="22" w:qFormat="1"/>
    <w:lsdException w:name="index 3" w:semiHidden="1" w:unhideWhenUsed="1"/>
    <w:lsdException w:name="index 5" w:semiHidden="1" w:unhideWhenUsed="1"/>
    <w:lsdException w:name="envelope address" w:semiHidden="1" w:unhideWhenUsed="1"/>
    <w:lsdException w:name="toc 3" w:uiPriority="39" w:semiHidden="1" w:unhideWhenUsed="1"/>
    <w:lsdException w:name="Body Text 2" w:semiHidden="1" w:unhideWhenUsed="1"/>
    <w:lsdException w:name="index 6" w:semiHidden="1" w:unhideWhenUsed="1"/>
    <w:lsdException w:name="annotation text" w:semiHidden="1" w:unhideWhenUsed="1"/>
    <w:lsdException w:name="index 8" w:semiHidden="1" w:unhideWhenUsed="1"/>
    <w:lsdException w:name="header" w:semiHidden="1" w:unhideWhenUsed="1"/>
    <w:lsdException w:name="caption" w:uiPriority="35" w:semiHidden="1" w:unhideWhenUsed="1" w:qFormat="1"/>
    <w:lsdException w:name="heading 9" w:uiPriority="9" w:semiHidden="1" w:unhideWhenUsed="1" w:qFormat="1"/>
    <w:lsdException w:name="endnote text" w:semiHidden="1" w:unhideWhenUsed="1"/>
    <w:lsdException w:name="toc 8" w:uiPriority="39" w:semiHidden="1" w:unhideWhenUsed="1"/>
    <w:lsdException w:name="FollowedHyperlink" w:semiHidden="1" w:unhideWhenUsed="1"/>
    <w:lsdException w:name="List 3" w:semiHidden="1" w:unhideWhenUsed="1"/>
    <w:lsdException w:name="Block Text" w:semiHidden="1" w:unhideWhenUsed="1"/>
    <w:lsdException w:name="List Number 2" w:semiHidden="1" w:unhideWhenUsed="1"/>
    <w:lsdException w:name="toc 7" w:uiPriority="39" w:semiHidden="1" w:unhideWhenUsed="1"/>
    <w:lsdException w:name="heading 4" w:uiPriority="9" w:semiHidden="1" w:unhideWhenUsed="1" w:qFormat="1"/>
    <w:lsdException w:name="Hyperlink" w:semiHidden="1" w:unhideWhenUsed="1"/>
  </w:latentStyles>
  <w:style w:type="paragraph" w:styleId="000005">
    <w:name w:val="heading 3"/>
    <w:basedOn w:val="Normal"/>
    <w:next w:val="Normal"/>
    <w:uiPriority w:val="9"/>
    <w:qFormat w:val="1"/>
    <w:pPr>
      <w:keepNext w:val="1"/>
      <w:keepLines w:val="1"/>
      <w:spacing w:before="180" w:after="80"/>
      <w:outlineLvl w:val="2"/>
    </w:pPr>
    <w:rPr>
      <w:b w:val="1"/>
      <w:sz w:val="24"/>
      <w:szCs w:val="24"/>
    </w:rPr>
  </w:style>
  <w:style w:type="paragraph" w:styleId="000004">
    <w:name w:val="heading 2"/>
    <w:basedOn w:val="Normal"/>
    <w:next w:val="Normal"/>
    <w:uiPriority w:val="9"/>
    <w:qFormat w:val="1"/>
    <w:pPr>
      <w:keepNext w:val="1"/>
      <w:keepLines w:val="1"/>
      <w:spacing w:before="200" w:after="100"/>
      <w:outlineLvl w:val="1"/>
    </w:pPr>
    <w:rPr>
      <w:b w:val="1"/>
      <w:sz w:val="26"/>
      <w:szCs w:val="26"/>
    </w:rPr>
  </w:style>
  <w:style w:type="paragraph" w:styleId="000003">
    <w:name w:val="heading 1"/>
    <w:basedOn w:val="Normal"/>
    <w:next w:val="Normal"/>
    <w:uiPriority w:val="9"/>
    <w:qFormat w:val="1"/>
    <w:pPr>
      <w:keepNext w:val="1"/>
      <w:keepLines w:val="1"/>
      <w:spacing w:before="240" w:after="120"/>
      <w:outlineLvl w:val="0"/>
    </w:pPr>
    <w:rPr>
      <w:b w:val="1"/>
      <w:sz w:val="32"/>
      <w:szCs w:val="32"/>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footer" Target="footer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2026-10-24T18:39:33Z</dcterms:created>
  <dcterms:modified xsi:type="dcterms:W3CDTF">2026-10-24T18:39:33Z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"01a16d71193d7961a73487ea39cbc797", "ReservedCode1": "", "ContentPropagator": "00119111010856365494821B355", "PropagateID": "01a16d71193d7961a73487ea39cbc797", "ReservedCode2": ""}}</vt:lpwstr>
  </property>
</Properties>
</file>