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C47A" w14:textId="609B1B17" w:rsidR="0069610F" w:rsidRPr="0069610F" w:rsidRDefault="0069610F" w:rsidP="0069610F">
      <w:pPr>
        <w:pStyle w:val="Default"/>
        <w:rPr>
          <w:b/>
          <w:bCs/>
        </w:rPr>
      </w:pPr>
      <w:r w:rsidRPr="0069610F">
        <w:rPr>
          <w:b/>
          <w:bCs/>
        </w:rPr>
        <w:t xml:space="preserve">Data: </w:t>
      </w:r>
      <w:r w:rsidRPr="0069610F">
        <w:rPr>
          <w:b/>
          <w:bCs/>
        </w:rPr>
        <w:t>GSE222520</w:t>
      </w:r>
    </w:p>
    <w:p w14:paraId="3104D135" w14:textId="77777777" w:rsidR="0069610F" w:rsidRDefault="0069610F" w:rsidP="0069610F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188"/>
      </w:tblGrid>
      <w:tr w:rsidR="0069610F" w:rsidRPr="0069610F" w14:paraId="0DFD2485" w14:textId="77777777" w:rsidTr="0069610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6B3D48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 xml:space="preserve"> Status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1ADF80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Public on Jun 23, 2024</w:t>
            </w:r>
          </w:p>
        </w:tc>
      </w:tr>
      <w:tr w:rsidR="0069610F" w:rsidRPr="0069610F" w14:paraId="0DD8B06F" w14:textId="77777777" w:rsidTr="0069610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6EAED3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Title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35AA73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 xml:space="preserve">Immune landscape of Isocitrate Dehydrogenase (IDH) stratified </w:t>
            </w:r>
            <w:proofErr w:type="spellStart"/>
            <w:r w:rsidRPr="0069610F">
              <w:rPr>
                <w:sz w:val="22"/>
                <w:szCs w:val="22"/>
              </w:rPr>
              <w:t>humangliomas</w:t>
            </w:r>
            <w:proofErr w:type="spellEnd"/>
            <w:r w:rsidRPr="0069610F">
              <w:rPr>
                <w:sz w:val="22"/>
                <w:szCs w:val="22"/>
              </w:rPr>
              <w:t xml:space="preserve"> [</w:t>
            </w:r>
            <w:proofErr w:type="spellStart"/>
            <w:r w:rsidRPr="0069610F">
              <w:rPr>
                <w:sz w:val="22"/>
                <w:szCs w:val="22"/>
              </w:rPr>
              <w:t>scRNA</w:t>
            </w:r>
            <w:proofErr w:type="spellEnd"/>
            <w:r w:rsidRPr="0069610F">
              <w:rPr>
                <w:sz w:val="22"/>
                <w:szCs w:val="22"/>
              </w:rPr>
              <w:t>-seq]</w:t>
            </w:r>
          </w:p>
        </w:tc>
      </w:tr>
      <w:tr w:rsidR="0069610F" w:rsidRPr="0069610F" w14:paraId="662F07A3" w14:textId="77777777" w:rsidTr="0069610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F53DB5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Organism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4D291C" w14:textId="77777777" w:rsidR="0069610F" w:rsidRPr="0069610F" w:rsidRDefault="0069610F">
            <w:pPr>
              <w:pStyle w:val="Default"/>
              <w:rPr>
                <w:color w:val="0056CC"/>
                <w:sz w:val="22"/>
                <w:szCs w:val="22"/>
              </w:rPr>
            </w:pPr>
            <w:r w:rsidRPr="0069610F">
              <w:rPr>
                <w:color w:val="0056CC"/>
                <w:sz w:val="22"/>
                <w:szCs w:val="22"/>
              </w:rPr>
              <w:t>Homo sapiens</w:t>
            </w:r>
          </w:p>
        </w:tc>
      </w:tr>
      <w:tr w:rsidR="0069610F" w:rsidRPr="0069610F" w14:paraId="1D284FCA" w14:textId="77777777" w:rsidTr="0069610F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44EAC8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Experiment type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EFCA15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Expression profiling by high throughput sequencing</w:t>
            </w:r>
          </w:p>
        </w:tc>
      </w:tr>
      <w:tr w:rsidR="0069610F" w:rsidRPr="0069610F" w14:paraId="5FAAF317" w14:textId="77777777" w:rsidTr="0069610F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89A8CA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Summary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1D0DE5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 xml:space="preserve">The brain tumor immune microenvironment (TIME) continuously </w:t>
            </w:r>
            <w:proofErr w:type="spellStart"/>
            <w:r w:rsidRPr="0069610F">
              <w:rPr>
                <w:sz w:val="22"/>
                <w:szCs w:val="22"/>
              </w:rPr>
              <w:t>evolvesduring</w:t>
            </w:r>
            <w:proofErr w:type="spellEnd"/>
            <w:r w:rsidRPr="0069610F">
              <w:rPr>
                <w:sz w:val="22"/>
                <w:szCs w:val="22"/>
              </w:rPr>
              <w:t xml:space="preserve"> glioma progression, but only a limited view of a highly complex </w:t>
            </w:r>
            <w:proofErr w:type="spellStart"/>
            <w:r w:rsidRPr="0069610F">
              <w:rPr>
                <w:sz w:val="22"/>
                <w:szCs w:val="22"/>
              </w:rPr>
              <w:t>gliomaassociated</w:t>
            </w:r>
            <w:proofErr w:type="spellEnd"/>
            <w:r w:rsidRPr="0069610F">
              <w:rPr>
                <w:sz w:val="22"/>
                <w:szCs w:val="22"/>
              </w:rPr>
              <w:t xml:space="preserve"> immune contexture across isocitrate dehydrogenase mutation (IDH)classified gliomas is known. Herein, we present an </w:t>
            </w:r>
            <w:proofErr w:type="spellStart"/>
            <w:proofErr w:type="gramStart"/>
            <w:r w:rsidRPr="0069610F">
              <w:rPr>
                <w:sz w:val="22"/>
                <w:szCs w:val="22"/>
              </w:rPr>
              <w:t>unprecedentedlycomprehensive</w:t>
            </w:r>
            <w:proofErr w:type="spellEnd"/>
            <w:proofErr w:type="gramEnd"/>
            <w:r w:rsidRPr="0069610F">
              <w:rPr>
                <w:sz w:val="22"/>
                <w:szCs w:val="22"/>
              </w:rPr>
              <w:t xml:space="preserve"> view of myeloid and lymphoid cell type diversity with our </w:t>
            </w:r>
            <w:proofErr w:type="spellStart"/>
            <w:r w:rsidRPr="0069610F">
              <w:rPr>
                <w:sz w:val="22"/>
                <w:szCs w:val="22"/>
              </w:rPr>
              <w:t>singlecell</w:t>
            </w:r>
            <w:proofErr w:type="spellEnd"/>
            <w:r w:rsidRPr="0069610F">
              <w:rPr>
                <w:sz w:val="22"/>
                <w:szCs w:val="22"/>
              </w:rPr>
              <w:t xml:space="preserve"> RNA sequencing interrogation. </w:t>
            </w:r>
          </w:p>
        </w:tc>
      </w:tr>
      <w:tr w:rsidR="0069610F" w:rsidRPr="0069610F" w14:paraId="202CE884" w14:textId="77777777" w:rsidTr="0069610F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17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3C9E96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>Overall design</w:t>
            </w:r>
          </w:p>
        </w:tc>
        <w:tc>
          <w:tcPr>
            <w:tcW w:w="718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9CA32D" w14:textId="77777777" w:rsidR="0069610F" w:rsidRPr="0069610F" w:rsidRDefault="0069610F">
            <w:pPr>
              <w:pStyle w:val="Default"/>
              <w:rPr>
                <w:sz w:val="22"/>
                <w:szCs w:val="22"/>
              </w:rPr>
            </w:pPr>
            <w:r w:rsidRPr="0069610F">
              <w:rPr>
                <w:sz w:val="22"/>
                <w:szCs w:val="22"/>
              </w:rPr>
              <w:t xml:space="preserve">The glioma associated CD45+ leukocyte </w:t>
            </w:r>
            <w:proofErr w:type="gramStart"/>
            <w:r w:rsidRPr="0069610F">
              <w:rPr>
                <w:sz w:val="22"/>
                <w:szCs w:val="22"/>
              </w:rPr>
              <w:t>were</w:t>
            </w:r>
            <w:proofErr w:type="gramEnd"/>
            <w:r w:rsidRPr="0069610F">
              <w:rPr>
                <w:sz w:val="22"/>
                <w:szCs w:val="22"/>
              </w:rPr>
              <w:t xml:space="preserve"> subjected to Fluorescence-activated cell sorting (FACS) from cryopreserved single cells. The </w:t>
            </w:r>
            <w:proofErr w:type="spellStart"/>
            <w:r w:rsidRPr="0069610F">
              <w:rPr>
                <w:sz w:val="22"/>
                <w:szCs w:val="22"/>
              </w:rPr>
              <w:t>leukocyteenriched</w:t>
            </w:r>
            <w:proofErr w:type="spellEnd"/>
            <w:r w:rsidRPr="0069610F">
              <w:rPr>
                <w:sz w:val="22"/>
                <w:szCs w:val="22"/>
              </w:rPr>
              <w:t xml:space="preserve"> single cell suspensions were obtained from freshly resected tumors </w:t>
            </w:r>
            <w:proofErr w:type="spellStart"/>
            <w:r w:rsidRPr="0069610F">
              <w:rPr>
                <w:sz w:val="22"/>
                <w:szCs w:val="22"/>
              </w:rPr>
              <w:t>ofIDH</w:t>
            </w:r>
            <w:proofErr w:type="spellEnd"/>
            <w:r w:rsidRPr="0069610F">
              <w:rPr>
                <w:sz w:val="22"/>
                <w:szCs w:val="22"/>
              </w:rPr>
              <w:t xml:space="preserve">-mutant primary (IMP; n=4), IDH-mutant recurrent (IMR; n=6), IDH-wildtype primary (IWP; n=4), or IDH-wild type recurrent (IWR; n=4) </w:t>
            </w:r>
            <w:proofErr w:type="spellStart"/>
            <w:r w:rsidRPr="0069610F">
              <w:rPr>
                <w:sz w:val="22"/>
                <w:szCs w:val="22"/>
              </w:rPr>
              <w:t>gliomapatients</w:t>
            </w:r>
            <w:proofErr w:type="spellEnd"/>
            <w:r w:rsidRPr="0069610F">
              <w:rPr>
                <w:sz w:val="22"/>
                <w:szCs w:val="22"/>
              </w:rPr>
              <w:t xml:space="preserve"> and quasi-normal non-glioma brain (NGB; n=3) from two </w:t>
            </w:r>
            <w:proofErr w:type="spellStart"/>
            <w:r w:rsidRPr="0069610F">
              <w:rPr>
                <w:sz w:val="22"/>
                <w:szCs w:val="22"/>
              </w:rPr>
              <w:t>epilepsypatients</w:t>
            </w:r>
            <w:proofErr w:type="spellEnd"/>
            <w:r w:rsidRPr="0069610F">
              <w:rPr>
                <w:sz w:val="22"/>
                <w:szCs w:val="22"/>
              </w:rPr>
              <w:t xml:space="preserve"> and a </w:t>
            </w:r>
            <w:proofErr w:type="spellStart"/>
            <w:r w:rsidRPr="0069610F">
              <w:rPr>
                <w:sz w:val="22"/>
                <w:szCs w:val="22"/>
              </w:rPr>
              <w:t>dysembryoplastic</w:t>
            </w:r>
            <w:proofErr w:type="spellEnd"/>
            <w:r w:rsidRPr="0069610F">
              <w:rPr>
                <w:sz w:val="22"/>
                <w:szCs w:val="22"/>
              </w:rPr>
              <w:t xml:space="preserve"> neuroepithelial tumor*** Raw data are not provided for this study. Raw data are protected by </w:t>
            </w:r>
            <w:proofErr w:type="spellStart"/>
            <w:r w:rsidRPr="0069610F">
              <w:rPr>
                <w:sz w:val="22"/>
                <w:szCs w:val="22"/>
              </w:rPr>
              <w:t>MDAnderson</w:t>
            </w:r>
            <w:proofErr w:type="spellEnd"/>
            <w:r w:rsidRPr="0069610F">
              <w:rPr>
                <w:sz w:val="22"/>
                <w:szCs w:val="22"/>
              </w:rPr>
              <w:t xml:space="preserve"> internal review board (IRB)-approved protocol numbers LAB03-</w:t>
            </w:r>
            <w:proofErr w:type="gramStart"/>
            <w:r w:rsidRPr="0069610F">
              <w:rPr>
                <w:sz w:val="22"/>
                <w:szCs w:val="22"/>
              </w:rPr>
              <w:t>0687,LAB</w:t>
            </w:r>
            <w:proofErr w:type="gramEnd"/>
            <w:r w:rsidRPr="0069610F">
              <w:rPr>
                <w:sz w:val="22"/>
                <w:szCs w:val="22"/>
              </w:rPr>
              <w:t xml:space="preserve">04-0001 and 2012-0441 and </w:t>
            </w:r>
          </w:p>
        </w:tc>
      </w:tr>
    </w:tbl>
    <w:p w14:paraId="0AF21AA6" w14:textId="6D6B5171" w:rsidR="0069610F" w:rsidRDefault="0069610F" w:rsidP="0069610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Samples:</w:t>
      </w:r>
    </w:p>
    <w:tbl>
      <w:tblPr>
        <w:tblW w:w="9844" w:type="dxa"/>
        <w:tblLook w:val="04A0" w:firstRow="1" w:lastRow="0" w:firstColumn="1" w:lastColumn="0" w:noHBand="0" w:noVBand="1"/>
      </w:tblPr>
      <w:tblGrid>
        <w:gridCol w:w="892"/>
        <w:gridCol w:w="1558"/>
        <w:gridCol w:w="1504"/>
        <w:gridCol w:w="1212"/>
        <w:gridCol w:w="1880"/>
        <w:gridCol w:w="1798"/>
        <w:gridCol w:w="1330"/>
      </w:tblGrid>
      <w:tr w:rsidR="0069610F" w14:paraId="74CBFF20" w14:textId="77777777" w:rsidTr="0069610F">
        <w:trPr>
          <w:trHeight w:val="3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8E89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sample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FBCE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geo_accession</w:t>
            </w:r>
            <w:proofErr w:type="spellEnd"/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61B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tissue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4C3C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cell_type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7D01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diagnosis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55B8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genotype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6330" w14:textId="77777777" w:rsidR="0069610F" w:rsidRDefault="006961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cancer_type</w:t>
            </w:r>
            <w:proofErr w:type="spellEnd"/>
          </w:p>
        </w:tc>
      </w:tr>
      <w:tr w:rsidR="0069610F" w14:paraId="68B57E92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10774E5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NGB1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61C623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GSM6925378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9F09679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Quasi-normal Brain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DC9662B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2613AAB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Dysembryoplastic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neuroepithelial tumor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7146AB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54DE77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</w:tr>
      <w:tr w:rsidR="0069610F" w14:paraId="535469F1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5C585A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NGB2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5A60122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GSM6925379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C865389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Quasi-normal Brain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83F94F9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42E502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Type IIIa focal cortical dysplasia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3583B5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AE8781A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</w:tr>
      <w:tr w:rsidR="0069610F" w14:paraId="4FBE2EE2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8711CF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NGB4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671F8F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GSM6925380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D68FA83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Quasi-normal Brain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F5F6B2C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A9F734B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Type IIIa focal cortical dysplasia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216C4EA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E8CEF1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Not Applicable</w:t>
            </w:r>
          </w:p>
        </w:tc>
      </w:tr>
      <w:tr w:rsidR="0069610F" w14:paraId="208151BF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E197DE6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IWP4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FFCCA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5BE6CE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B2647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0C6390C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F876430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1B75C2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Primary</w:t>
            </w:r>
          </w:p>
        </w:tc>
      </w:tr>
      <w:tr w:rsidR="0069610F" w14:paraId="5E4B86C3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C29BDB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IWP2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5EF6B6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E2B5B9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0648D0A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C83776C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894C50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041905A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Primary</w:t>
            </w:r>
          </w:p>
        </w:tc>
      </w:tr>
      <w:tr w:rsidR="0069610F" w14:paraId="7D73F60A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27DDE4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IWP1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1C511CE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048AE4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F53AF1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871048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2C69BF6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859F0B5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Primary</w:t>
            </w:r>
          </w:p>
        </w:tc>
      </w:tr>
      <w:tr w:rsidR="0069610F" w14:paraId="3189186C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4B2D6D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IWR1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BE9D89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526FFC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43071B5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186E780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F6BDC8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7F94997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Recurrent</w:t>
            </w:r>
          </w:p>
        </w:tc>
      </w:tr>
      <w:tr w:rsidR="0069610F" w14:paraId="52A3A9A6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37AB6BB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IMR2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5C1196C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GSM6925386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BF916E2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DEF9CF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C667B4A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94968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Mutant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95EBDC9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Recurrent</w:t>
            </w:r>
          </w:p>
        </w:tc>
      </w:tr>
      <w:tr w:rsidR="0069610F" w14:paraId="0F24CDAB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BB03924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IWR4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28D133C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GSM6925398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927DA0F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8E5558D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10FF5D6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C56F700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F4E6FD3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Recurrent</w:t>
            </w:r>
          </w:p>
        </w:tc>
      </w:tr>
      <w:tr w:rsidR="0069610F" w14:paraId="433516CE" w14:textId="77777777" w:rsidTr="0069610F">
        <w:trPr>
          <w:trHeight w:val="3"/>
        </w:trPr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F2CEB3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IWR3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AF057A2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GSM6925397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15EBAF1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A368845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Leukocytes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1674F0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Glioblastoma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D910C08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IDH Wild Type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0875783" w14:textId="77777777" w:rsidR="0069610F" w:rsidRDefault="006961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Recurrent</w:t>
            </w:r>
          </w:p>
        </w:tc>
      </w:tr>
    </w:tbl>
    <w:p w14:paraId="797FFB5B" w14:textId="77777777" w:rsidR="0069610F" w:rsidRDefault="0069610F" w:rsidP="0069610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</w:p>
    <w:p w14:paraId="47479731" w14:textId="77777777" w:rsidR="0069610F" w:rsidRDefault="0069610F" w:rsidP="0069610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</w:p>
    <w:p w14:paraId="51F3A81A" w14:textId="27B1E46F" w:rsidR="0069610F" w:rsidRPr="006E6675" w:rsidRDefault="0069610F" w:rsidP="0069610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69610F">
        <w:rPr>
          <w:b/>
          <w:bCs/>
          <w:color w:val="0070C0"/>
          <w:sz w:val="32"/>
          <w:szCs w:val="32"/>
        </w:rPr>
        <w:t>Result 1:</w:t>
      </w:r>
      <w:r>
        <w:rPr>
          <w:b/>
          <w:bCs/>
          <w:sz w:val="32"/>
          <w:szCs w:val="32"/>
        </w:rPr>
        <w:t xml:space="preserve"> </w:t>
      </w:r>
      <w:r w:rsidRPr="0028615E">
        <w:rPr>
          <w:b/>
          <w:bCs/>
          <w:sz w:val="32"/>
          <w:szCs w:val="32"/>
        </w:rPr>
        <w:t>Cell type</w:t>
      </w:r>
      <w:r>
        <w:rPr>
          <w:b/>
          <w:bCs/>
          <w:sz w:val="32"/>
          <w:szCs w:val="32"/>
        </w:rPr>
        <w:t xml:space="preserve"> annotation to GBM and normal brain </w:t>
      </w:r>
      <w:r w:rsidRPr="0028615E">
        <w:rPr>
          <w:b/>
          <w:bCs/>
          <w:sz w:val="32"/>
          <w:szCs w:val="32"/>
        </w:rPr>
        <w:t xml:space="preserve"> </w:t>
      </w:r>
    </w:p>
    <w:p w14:paraId="0B84C9E9" w14:textId="77777777" w:rsidR="0069610F" w:rsidRPr="0028615E" w:rsidRDefault="0069610F" w:rsidP="0069610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</w:p>
    <w:p w14:paraId="0042A8AB" w14:textId="3E7BE8B8" w:rsidR="0069610F" w:rsidRPr="0069610F" w:rsidRDefault="0069610F" w:rsidP="0069610F">
      <w:pPr>
        <w:spacing w:before="100" w:beforeAutospacing="1" w:after="100" w:afterAutospacing="1"/>
        <w:outlineLvl w:val="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Result2: gene expression in each cell </w:t>
      </w:r>
      <w:proofErr w:type="gramStart"/>
      <w:r>
        <w:rPr>
          <w:b/>
          <w:bCs/>
          <w:color w:val="0070C0"/>
          <w:sz w:val="32"/>
          <w:szCs w:val="32"/>
        </w:rPr>
        <w:t>types</w:t>
      </w:r>
      <w:proofErr w:type="gramEnd"/>
      <w:r>
        <w:rPr>
          <w:b/>
          <w:bCs/>
          <w:color w:val="0070C0"/>
          <w:sz w:val="32"/>
          <w:szCs w:val="32"/>
        </w:rPr>
        <w:t>:</w:t>
      </w:r>
      <w:r w:rsidRPr="0028615E">
        <w:rPr>
          <w:b/>
          <w:bCs/>
          <w:color w:val="0070C0"/>
          <w:sz w:val="32"/>
          <w:szCs w:val="32"/>
        </w:rPr>
        <w:t xml:space="preserve"> </w:t>
      </w:r>
      <w:r w:rsidRPr="0069610F">
        <w:rPr>
          <w:b/>
          <w:bCs/>
          <w:color w:val="000000" w:themeColor="text1"/>
          <w:sz w:val="32"/>
          <w:szCs w:val="32"/>
        </w:rPr>
        <w:t>FLVCR1, FLVCR2, TXNDC16, SOAT1, SCAP/SREBP, STING, LRP1, LRP8, LDLR, APOA, APOB, APOC, APOD, APOE, SCAP, DGAT1, DGAT2, SOAT1, SOAT2</w:t>
      </w:r>
    </w:p>
    <w:sectPr w:rsidR="0069610F" w:rsidRPr="0069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F"/>
    <w:rsid w:val="0069610F"/>
    <w:rsid w:val="00B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A13B"/>
  <w15:chartTrackingRefBased/>
  <w15:docId w15:val="{4D38160C-63A2-451F-9D03-5DD17894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0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9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9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0F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9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0F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96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0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9610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</dc:creator>
  <cp:keywords/>
  <dc:description/>
  <cp:lastModifiedBy>Lijun</cp:lastModifiedBy>
  <cp:revision>1</cp:revision>
  <dcterms:created xsi:type="dcterms:W3CDTF">2025-07-21T17:44:00Z</dcterms:created>
  <dcterms:modified xsi:type="dcterms:W3CDTF">2025-07-21T17:49:00Z</dcterms:modified>
</cp:coreProperties>
</file>