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Workflow Summary: Replicating Analysis from ACAT1 Inhibition Study in Microglia</w:t>
      </w:r>
    </w:p>
    <w:p>
      <w:r>
        <w:pict>
          <v:rect style="width:0;height:1.5pt" o:hralign="center" o:hrstd="t" o:hr="t"/>
        </w:pict>
      </w:r>
    </w:p>
    <w:bookmarkStart w:id="20" w:name="Xa56e8fe6a2a518cfa273bc159d3a4db113dd40b"/>
    <w:p>
      <w:pPr>
        <w:pStyle w:val="Heading3"/>
      </w:pPr>
      <w:r>
        <w:t xml:space="preserve">📁 Section 1: Image Analysis of Stained Tissue Sections</w:t>
      </w:r>
    </w:p>
    <w:p>
      <w:pPr>
        <w:pStyle w:val="FirstParagraph"/>
      </w:pPr>
      <w:r>
        <w:rPr>
          <w:b/>
          <w:bCs/>
        </w:rPr>
        <w:t xml:space="preserve">Tools Used:</w:t>
      </w:r>
      <w:r>
        <w:t xml:space="preserve"> </w:t>
      </w:r>
      <w:r>
        <w:t xml:space="preserve">- Nanozoomer 2.0HT (Hamamatsu) – Whole-slide scanner</w:t>
      </w:r>
      <w:r>
        <w:t xml:space="preserve"> </w:t>
      </w:r>
      <w:r>
        <w:t xml:space="preserve">- NDP.view2 – Image viewer software</w:t>
      </w:r>
      <w:r>
        <w:t xml:space="preserve"> </w:t>
      </w:r>
      <w:r>
        <w:t xml:space="preserve">- ImageJ Fiji – Open-source image quantification software</w:t>
      </w:r>
      <w:r>
        <w:t xml:space="preserve"> </w:t>
      </w:r>
      <w:r>
        <w:t xml:space="preserve">- GraphPad Prism v9 – Graphing and statistical testing</w:t>
      </w:r>
    </w:p>
    <w:p>
      <w:pPr>
        <w:pStyle w:val="BodyText"/>
      </w:pPr>
      <w:r>
        <w:rPr>
          <w:b/>
          <w:bCs/>
        </w:rPr>
        <w:t xml:space="preserve">Steps &amp; Purpose:</w:t>
      </w:r>
      <w:r>
        <w:t xml:space="preserve"> </w:t>
      </w:r>
      <w:r>
        <w:t xml:space="preserve">1. Scan tissue slides at 20x magnification using Nanozoomer – for digitization.</w:t>
      </w:r>
      <w:r>
        <w:t xml:space="preserve"> </w:t>
      </w:r>
      <w:r>
        <w:t xml:space="preserve">2. Review scanned images using NDP.view2 – to select representative regions.</w:t>
      </w:r>
      <w:r>
        <w:t xml:space="preserve"> </w:t>
      </w:r>
      <w:r>
        <w:t xml:space="preserve">3. Choose 5 representative tumor-region images per sample – ensure consistency.</w:t>
      </w:r>
      <w:r>
        <w:t xml:space="preserve"> </w:t>
      </w:r>
      <w:r>
        <w:t xml:space="preserve">4. Use ImageJ Fiji:</w:t>
      </w:r>
      <w:r>
        <w:t xml:space="preserve"> </w:t>
      </w:r>
      <w:r>
        <w:t xml:space="preserve">- Threshold and quantify % area stained (WNT5A, LRP5, CD44, SPP1)</w:t>
      </w:r>
      <w:r>
        <w:t xml:space="preserve"> </w:t>
      </w:r>
      <w:r>
        <w:t xml:space="preserve">- Count phospho-histone 3-positive nuclei/mm² (cell proliferation)</w:t>
      </w:r>
      <w:r>
        <w:t xml:space="preserve"> </w:t>
      </w:r>
      <w:r>
        <w:t xml:space="preserve">5. Use GraphPad Prism to perform statistical comparisons and generate plots.</w:t>
      </w:r>
    </w:p>
    <w:p>
      <w:r>
        <w:pict>
          <v:rect style="width:0;height:1.5pt" o:hralign="center" o:hrstd="t" o:hr="t"/>
        </w:pict>
      </w:r>
    </w:p>
    <w:bookmarkEnd w:id="20"/>
    <w:bookmarkStart w:id="21" w:name="Xcc84b9a106a8342fdc3abba72114424482eee2c"/>
    <w:p>
      <w:pPr>
        <w:pStyle w:val="Heading3"/>
      </w:pPr>
      <w:r>
        <w:t xml:space="preserve">📊 Section 2: scRNA-seq Tissue Preparation &amp; Processing</w:t>
      </w:r>
    </w:p>
    <w:p>
      <w:pPr>
        <w:pStyle w:val="FirstParagraph"/>
      </w:pPr>
      <w:r>
        <w:rPr>
          <w:b/>
          <w:bCs/>
        </w:rPr>
        <w:t xml:space="preserve">Tools Used:</w:t>
      </w:r>
      <w:r>
        <w:t xml:space="preserve"> </w:t>
      </w:r>
      <w:r>
        <w:t xml:space="preserve">- 10X Genomics Chromium platform – single-cell capture</w:t>
      </w:r>
      <w:r>
        <w:t xml:space="preserve"> </w:t>
      </w:r>
      <w:r>
        <w:t xml:space="preserve">- CellRanger v5.0.0 – RNA alignment and quantification</w:t>
      </w:r>
      <w:r>
        <w:t xml:space="preserve"> </w:t>
      </w:r>
      <w:r>
        <w:t xml:space="preserve">- Seurat v4.3.0 (R) – normalization, clustering, scoring</w:t>
      </w:r>
      <w:r>
        <w:t xml:space="preserve"> </w:t>
      </w:r>
      <w:r>
        <w:t xml:space="preserve">- ggplot2 v3.5.0 (R) – visualization</w:t>
      </w:r>
    </w:p>
    <w:p>
      <w:pPr>
        <w:pStyle w:val="BodyText"/>
      </w:pPr>
      <w:r>
        <w:rPr>
          <w:b/>
          <w:bCs/>
        </w:rPr>
        <w:t xml:space="preserve">Steps &amp; Purpose:</w:t>
      </w:r>
      <w:r>
        <w:t xml:space="preserve"> </w:t>
      </w:r>
      <w:r>
        <w:t xml:space="preserve">1. Dissect GBM tumors from mice, dissociate into single-cell suspensions.</w:t>
      </w:r>
      <w:r>
        <w:t xml:space="preserve"> </w:t>
      </w:r>
      <w:r>
        <w:t xml:space="preserve">2. Perform 10X Chromium scRNA-seq – to barcode and capture transcripts.</w:t>
      </w:r>
      <w:r>
        <w:t xml:space="preserve"> </w:t>
      </w:r>
      <w:r>
        <w:t xml:space="preserve">3. Align reads to mm10 + Rfp + RCAS custom genome using CellRanger.</w:t>
      </w:r>
      <w:r>
        <w:t xml:space="preserve"> </w:t>
      </w:r>
      <w:r>
        <w:t xml:space="preserve">4. Load results into Seurat for:</w:t>
      </w:r>
      <w:r>
        <w:t xml:space="preserve"> </w:t>
      </w:r>
      <w:r>
        <w:t xml:space="preserve">- QC filtering, normalization, dimensionality reduction.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CellCycleScoring()</w:t>
      </w:r>
      <w:r>
        <w:t xml:space="preserve"> </w:t>
      </w:r>
      <w:r>
        <w:t xml:space="preserve">to assign S/G2M (cycling) scores.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AddModuleScore()</w:t>
      </w:r>
      <w:r>
        <w:t xml:space="preserve"> </w:t>
      </w:r>
      <w:r>
        <w:t xml:space="preserve">with Neftel GBM signatures to classify cell states.</w:t>
      </w:r>
    </w:p>
    <w:p>
      <w:r>
        <w:pict>
          <v:rect style="width:0;height:1.5pt" o:hralign="center" o:hrstd="t" o:hr="t"/>
        </w:pict>
      </w:r>
    </w:p>
    <w:bookmarkEnd w:id="21"/>
    <w:bookmarkStart w:id="22" w:name="Xb1c4b29ee0356e06306f0e1b43f2181e28818f2"/>
    <w:p>
      <w:pPr>
        <w:pStyle w:val="Heading3"/>
      </w:pPr>
      <w:r>
        <w:t xml:space="preserve">🔢 Section 3: Differential Expression &amp; Network Modules</w:t>
      </w:r>
    </w:p>
    <w:p>
      <w:pPr>
        <w:pStyle w:val="FirstParagraph"/>
      </w:pPr>
      <w:r>
        <w:rPr>
          <w:b/>
          <w:bCs/>
        </w:rPr>
        <w:t xml:space="preserve">Tools Used:</w:t>
      </w:r>
      <w:r>
        <w:t xml:space="preserve"> </w:t>
      </w:r>
      <w:r>
        <w:t xml:space="preserve">- muscat v1.12.1 (R) – scRNA-seq DE analysis across groups</w:t>
      </w:r>
      <w:r>
        <w:t xml:space="preserve"> </w:t>
      </w:r>
      <w:r>
        <w:t xml:space="preserve">- DESeq2 – statistical engine for DE genes</w:t>
      </w:r>
      <w:r>
        <w:t xml:space="preserve"> </w:t>
      </w:r>
      <w:r>
        <w:t xml:space="preserve">- hdWGCNA v1.72 (R) – co-expression module detection</w:t>
      </w:r>
      <w:r>
        <w:t xml:space="preserve"> </w:t>
      </w:r>
      <w:r>
        <w:t xml:space="preserve">- clusterProfiler v4.6.2 (R) – pathway enrichment analysis</w:t>
      </w:r>
    </w:p>
    <w:p>
      <w:pPr>
        <w:pStyle w:val="BodyText"/>
      </w:pPr>
      <w:r>
        <w:rPr>
          <w:b/>
          <w:bCs/>
        </w:rPr>
        <w:t xml:space="preserve">Steps &amp; Purpose:</w:t>
      </w:r>
      <w:r>
        <w:t xml:space="preserve"> </w:t>
      </w:r>
      <w:r>
        <w:t xml:space="preserve">1. Run</w:t>
      </w:r>
      <w:r>
        <w:t xml:space="preserve"> </w:t>
      </w:r>
      <w:r>
        <w:rPr>
          <w:rStyle w:val="VerbatimChar"/>
        </w:rPr>
        <w:t xml:space="preserve">muscat::pbDS()</w:t>
      </w:r>
      <w:r>
        <w:t xml:space="preserve"> </w:t>
      </w:r>
      <w:r>
        <w:t xml:space="preserve">to identify DE genes across sample conditions (uses DESeq2 under the hood).</w:t>
      </w:r>
      <w:r>
        <w:t xml:space="preserve"> </w:t>
      </w:r>
      <w:r>
        <w:t xml:space="preserve">2. Use hdWGCNA to build gene co-expression networks.</w:t>
      </w:r>
      <w:r>
        <w:t xml:space="preserve"> </w:t>
      </w:r>
      <w:r>
        <w:t xml:space="preserve">3. Run</w:t>
      </w:r>
      <w:r>
        <w:t xml:space="preserve"> </w:t>
      </w:r>
      <w:r>
        <w:rPr>
          <w:rStyle w:val="VerbatimChar"/>
        </w:rPr>
        <w:t xml:space="preserve">clusterProfiler::enrichGO()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enrichKEGG()</w:t>
      </w:r>
      <w:r>
        <w:t xml:space="preserve"> </w:t>
      </w:r>
      <w:r>
        <w:t xml:space="preserve">to discover overrepresented pathways.</w:t>
      </w:r>
    </w:p>
    <w:p>
      <w:r>
        <w:pict>
          <v:rect style="width:0;height:1.5pt" o:hralign="center" o:hrstd="t" o:hr="t"/>
        </w:pict>
      </w:r>
    </w:p>
    <w:bookmarkEnd w:id="22"/>
    <w:bookmarkStart w:id="23" w:name="section-4-rna-velocity"/>
    <w:p>
      <w:pPr>
        <w:pStyle w:val="Heading3"/>
      </w:pPr>
      <w:r>
        <w:t xml:space="preserve">🚀 Section 4: RNA Velocity</w:t>
      </w:r>
    </w:p>
    <w:p>
      <w:pPr>
        <w:pStyle w:val="FirstParagraph"/>
      </w:pPr>
      <w:r>
        <w:rPr>
          <w:b/>
          <w:bCs/>
        </w:rPr>
        <w:t xml:space="preserve">Tools Used:</w:t>
      </w:r>
      <w:r>
        <w:t xml:space="preserve"> </w:t>
      </w:r>
      <w:r>
        <w:t xml:space="preserve">- scVelo v0.3.2 (Python 3.9.13) – inference of RNA dynamics</w:t>
      </w:r>
    </w:p>
    <w:p>
      <w:pPr>
        <w:pStyle w:val="BodyText"/>
      </w:pPr>
      <w:r>
        <w:rPr>
          <w:b/>
          <w:bCs/>
        </w:rPr>
        <w:t xml:space="preserve">Steps &amp; Purpose:</w:t>
      </w:r>
      <w:r>
        <w:t xml:space="preserve"> </w:t>
      </w:r>
      <w:r>
        <w:t xml:space="preserve">1. Input filtered, normalized data into scVelo.</w:t>
      </w:r>
      <w:r>
        <w:t xml:space="preserve"> </w:t>
      </w:r>
      <w:r>
        <w:t xml:space="preserve">2. Estimate spliced/unspliced transcript ratios.</w:t>
      </w:r>
      <w:r>
        <w:t xml:space="preserve"> </w:t>
      </w:r>
      <w:r>
        <w:t xml:space="preserve">3. Visualize projected cell state trajectories.</w:t>
      </w:r>
    </w:p>
    <w:p>
      <w:r>
        <w:pict>
          <v:rect style="width:0;height:1.5pt" o:hralign="center" o:hrstd="t" o:hr="t"/>
        </w:pict>
      </w:r>
    </w:p>
    <w:bookmarkEnd w:id="23"/>
    <w:bookmarkStart w:id="24" w:name="X1cef692d9ec6bcf194535dc80423af2b653f875"/>
    <w:p>
      <w:pPr>
        <w:pStyle w:val="Heading3"/>
      </w:pPr>
      <w:r>
        <w:t xml:space="preserve">🛡️ Section 5: Ligand–Receptor Signaling Analysis</w:t>
      </w:r>
    </w:p>
    <w:p>
      <w:pPr>
        <w:pStyle w:val="FirstParagraph"/>
      </w:pPr>
      <w:r>
        <w:rPr>
          <w:b/>
          <w:bCs/>
        </w:rPr>
        <w:t xml:space="preserve">Tools Used:</w:t>
      </w:r>
      <w:r>
        <w:t xml:space="preserve"> </w:t>
      </w:r>
      <w:r>
        <w:t xml:space="preserve">- CellPhoneDB v2.1.7 (Python) – ligand-receptor inference tool</w:t>
      </w:r>
    </w:p>
    <w:p>
      <w:pPr>
        <w:pStyle w:val="BodyText"/>
      </w:pPr>
      <w:r>
        <w:rPr>
          <w:b/>
          <w:bCs/>
        </w:rPr>
        <w:t xml:space="preserve">Steps &amp; Purpose:</w:t>
      </w:r>
      <w:r>
        <w:t xml:space="preserve"> </w:t>
      </w:r>
      <w:r>
        <w:t xml:space="preserve">1. Input expression matrix + cell type annotations.</w:t>
      </w:r>
      <w:r>
        <w:t xml:space="preserve"> </w:t>
      </w:r>
      <w:r>
        <w:t xml:space="preserve">2. Run CellPhoneDB to infer statistically significant ligand–receptor pairs.</w:t>
      </w:r>
      <w:r>
        <w:t xml:space="preserve"> </w:t>
      </w:r>
      <w:r>
        <w:t xml:space="preserve">3. Compare interaction strength between experimental groups.</w:t>
      </w:r>
    </w:p>
    <w:p>
      <w:r>
        <w:pict>
          <v:rect style="width:0;height:1.5pt" o:hralign="center" o:hrstd="t" o:hr="t"/>
        </w:pict>
      </w:r>
    </w:p>
    <w:bookmarkEnd w:id="24"/>
    <w:bookmarkStart w:id="25" w:name="section-6-bulk-rna-seq-tcga-gbm-samples"/>
    <w:p>
      <w:pPr>
        <w:pStyle w:val="Heading3"/>
      </w:pPr>
      <w:r>
        <w:t xml:space="preserve">📈 Section 6: Bulk RNA-seq (TCGA GBM Samples)</w:t>
      </w:r>
    </w:p>
    <w:p>
      <w:pPr>
        <w:pStyle w:val="FirstParagraph"/>
      </w:pPr>
      <w:r>
        <w:rPr>
          <w:b/>
          <w:bCs/>
        </w:rPr>
        <w:t xml:space="preserve">Tools Used:</w:t>
      </w:r>
      <w:r>
        <w:t xml:space="preserve"> </w:t>
      </w:r>
      <w:r>
        <w:t xml:space="preserve">- cgdsr (R) – download TCGA GBM bulk RNA + mutation data from cBioPortal</w:t>
      </w:r>
    </w:p>
    <w:p>
      <w:pPr>
        <w:pStyle w:val="BodyText"/>
      </w:pPr>
      <w:r>
        <w:rPr>
          <w:b/>
          <w:bCs/>
        </w:rPr>
        <w:t xml:space="preserve">Steps &amp; Purpose:</w:t>
      </w:r>
      <w:r>
        <w:t xml:space="preserve"> </w:t>
      </w:r>
      <w:r>
        <w:t xml:space="preserve">1. Group samples by GBM subtype using mutations (EGFRvIII, NF1, PDGFRA).</w:t>
      </w:r>
      <w:r>
        <w:t xml:space="preserve"> </w:t>
      </w:r>
      <w:r>
        <w:t xml:space="preserve">2. Calculate mean log10 gene expression for marker genes per sample.</w:t>
      </w:r>
      <w:r>
        <w:t xml:space="preserve"> </w:t>
      </w:r>
      <w:r>
        <w:t xml:space="preserve">3. Compare expression programs identified from scRNA-seq with bulk data.</w:t>
      </w:r>
    </w:p>
    <w:p>
      <w:r>
        <w:pict>
          <v:rect style="width:0;height:1.5pt" o:hralign="center" o:hrstd="t" o:hr="t"/>
        </w:pict>
      </w:r>
    </w:p>
    <w:bookmarkEnd w:id="25"/>
    <w:bookmarkStart w:id="26" w:name="section-7-statistical-testing"/>
    <w:p>
      <w:pPr>
        <w:pStyle w:val="Heading3"/>
      </w:pPr>
      <w:r>
        <w:t xml:space="preserve">⚖️ Section 7: Statistical Testing</w:t>
      </w:r>
    </w:p>
    <w:p>
      <w:pPr>
        <w:pStyle w:val="FirstParagraph"/>
      </w:pPr>
      <w:r>
        <w:rPr>
          <w:b/>
          <w:bCs/>
        </w:rPr>
        <w:t xml:space="preserve">Tools Used:</w:t>
      </w:r>
      <w:r>
        <w:t xml:space="preserve"> </w:t>
      </w:r>
      <w:r>
        <w:t xml:space="preserve">- GraphPad Prism v9 or R base functions</w:t>
      </w:r>
    </w:p>
    <w:p>
      <w:pPr>
        <w:pStyle w:val="BodyText"/>
      </w:pPr>
      <w:r>
        <w:rPr>
          <w:b/>
          <w:bCs/>
        </w:rPr>
        <w:t xml:space="preserve">Tests Used &amp; When:</w:t>
      </w:r>
      <w:r>
        <w:t xml:space="preserve"> </w:t>
      </w:r>
      <w:r>
        <w:t xml:space="preserve">- Student’s t-test – for normally distributed data</w:t>
      </w:r>
      <w:r>
        <w:t xml:space="preserve"> </w:t>
      </w:r>
      <w:r>
        <w:t xml:space="preserve">- Mann–Whitney U test – for non-normal distributions</w:t>
      </w:r>
      <w:r>
        <w:t xml:space="preserve"> </w:t>
      </w:r>
      <w:r>
        <w:t xml:space="preserve">- Fisher’s exact test – for binary/categorical comparisons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Always read the figure legends and supplementary methods of the paper to verify exact parameters and thresholds used in each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summary is designed for practical replication of methods from a published study on ACAT1 inhibition and autophagy in microglia.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2025-08-01T20:44:03Z</dcterms:created>
  <dcterms:modified xsi:type="dcterms:W3CDTF">2025-08-01T20:44:03Z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