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F3FA2" w14:textId="77777777" w:rsidR="00F912C5" w:rsidRPr="00F912C5" w:rsidRDefault="00F912C5" w:rsidP="00F912C5">
      <w:r w:rsidRPr="00F912C5">
        <w:t>Literature Review</w:t>
      </w:r>
      <w:r w:rsidRPr="00F912C5">
        <w:br/>
        <w:t>Hill, Daniel W., and Zachary M. Jones. "An Empirical Evaluation of Explanations for State Repression." American Political Science Review 108.3 (2014): 661-687.</w:t>
      </w:r>
    </w:p>
    <w:p w14:paraId="1D48D889" w14:textId="77777777" w:rsidR="00F912C5" w:rsidRPr="00F912C5" w:rsidRDefault="00F912C5" w:rsidP="00F912C5">
      <w:r w:rsidRPr="00F912C5">
        <w:t>The article offers a systematic critique of three decades of cross-national quantitative research on state repression. Hill and Jones argue that the sub-field has become trapped in a “p-significance” paradigm: scholars add ever-more variables to ordered logit or OLS models, declare p &lt; 0.05 as validation, and rarely ask whether the specification actually predicts who gets repressed. To demonstrate the cost of this practice, the authors assemble 31 of the most frequently used covariates—ranging from GDP per capita and trade openness to constitutional provisions and INGO shaming—and submit them to 10-fold cross-validation and random-forest permutation tests on three dependent variables (CIRI Physical Integrity Index, Political Terror Scale, and Fariss’s latent repression score, 1981-1999). The sobering result is that only “high-intensity civil war” and the “competitiveness of participation” component of Polity consistently improve out-of-sample accuracy; many variables that are routinely pronounced “robust” (British colonial legacy, IMF structural-adjustment participation, CAT ratification) fail to lower root-mean-squared error or raise Somer’s D in any meaningful way. Even the two “winners” are tainted by conceptual overlap: battle-death thresholds capture some of the same violence coded as “torture” or “killing” in human-rights reports, and Polity’s lowest category explicitly codes “systematic harassment of political opponents” as evidence of low democracy. Hill and Jones therefore warn that the discipline’s flagship finding—democracy reduces repression—is partly tautological. More constructively, they show that three comparatively neglected factors—de facto judicial independence, youth bulges, and common-law legal heritage—add non-trivial predictive power across multiple test folds and are not definitionally entangled with the outcome. The article closes by urging researchers to treat predictive validity as a first-order criterion and to disaggregate repressive practices (torture, disappearance, political imprisonment) rather than continue to model an undifferentiated “repression” scale.</w:t>
      </w:r>
    </w:p>
    <w:p w14:paraId="0EA7B978" w14:textId="77777777" w:rsidR="00F912C5" w:rsidRPr="00F912C5" w:rsidRDefault="00F912C5" w:rsidP="00F912C5">
      <w:r w:rsidRPr="00F912C5">
        <w:t xml:space="preserve">Our project examines whether the January 7 Minnesota shooting functions as a breakpoint in YouTube discourse about ICE. Conceptually, we move the camera from the state to the public: instead of asking “what makes governments repress?” we ask “when do citizens withdraw legitimacy from a repressive agency?” Yet the Hill &amp; Jones diagnosis is directly transferable. First, their critique of tautology alerts us to the danger of using “anti-Trump” or “pro-Trump” dummy variables as predictors of sentiment toward ICE, because partisan cues are themselves embedded in the outcome (polarised evaluations of ICE). Second, their insistence on out-of-sample validation supplies a </w:t>
      </w:r>
      <w:r w:rsidRPr="00F912C5">
        <w:lastRenderedPageBreak/>
        <w:t>ready-made template: we will partition the 52-week panel into rolling training and test sets, compute the incremental RMSE of adding each theoretical block (demographic, economic, institutional, media-event), and report permutation importance rather than t-statistics. Third, their finding that “judicial independence” predicts physical-integrity abuse encourages us to collect state-level data on federal-court injunctions against ICE raids and to test whether court activism reduces subsequent negativity in YouTube comments—an observable implication that would not emerge from a purely partisan narrative. Finally, their disaggregation strategy prompts us to separate “emotional-valence toward ICE as an institution” from “calls for abolition” and “demands for reform,” because different repressive practices may follow distinct logics of legitimation.</w:t>
      </w:r>
    </w:p>
    <w:p w14:paraId="5382DED3" w14:textId="77777777" w:rsidR="00F912C5" w:rsidRPr="00F912C5" w:rsidRDefault="00F912C5" w:rsidP="00F912C5">
      <w:r w:rsidRPr="00F912C5">
        <w:t>Neumann, Markus, et al. "Politicizing Masks? Examining the Volume and Content of Local News Coverage of Face Coverings in the U.S. Through the COVID-19 Pandemic." Political Communication 41.1 (2024): 66-106.</w:t>
      </w:r>
    </w:p>
    <w:p w14:paraId="5EAB2143" w14:textId="77777777" w:rsidR="00F912C5" w:rsidRPr="00F912C5" w:rsidRDefault="00F912C5" w:rsidP="00F912C5">
      <w:r w:rsidRPr="00F912C5">
        <w:t>The study provides the first large-scale audit of how 758 local television stations framed face-covering guidance during the first 22 months of COVID-19. Using closed-caption transcripts scraped from TVEyes, the authors identify 3.6 million “mask stories” by keyword and extract 100-word windows around each hit. They operationalise politicisation in two steps: (i) presence of conflict vocabulary (controvers*, disput*, attack*, etc.) and (ii) co-occurrence of conflict terms with partisan actor names (Biden, Trump, GOP, Democrat). Linear mixed-effects models with random intercepts for station, network, and day reveal four main findings. First, volume tracks case counts only during the initial waves; after the 2020 election the “media storm” decouples from objective risk, consistent with Downsian issue-attention cycles. Second, Sinclair-owned stations air 20-25% fewer mask stories yet devote a larger share of those stories to conflict and partisan cues, indicating that ownership structure can override local epidemiological conditions. Third, politically competitive media markets generate more controversial coverage, suggesting that electoral incentives spill over into health journalism. Fourth, measuring politicisation by “any mention of politicians” rather than “conflict + partisan cue” overestimates politicisation by a factor of two to four, because most political references are informational, not adversarial. The paper concludes that pandemic coverage is not merely a function of objective risk but of market structure, ownership ideology, and electoral competitiveness.</w:t>
      </w:r>
    </w:p>
    <w:p w14:paraId="6627F4A9" w14:textId="77777777" w:rsidR="00F912C5" w:rsidRPr="00F912C5" w:rsidRDefault="00F912C5" w:rsidP="00F912C5">
      <w:r w:rsidRPr="00F912C5">
        <w:t xml:space="preserve">Our study shifts the venue from broadcast television to YouTube and the issue from masks to immigration enforcement, yet the theoretical mechanism—elite-driven controversy amplifies public polarisation—maps cleanly onto ICE discourse. The Minnesota shooting functions as the exogenous “trigger event” that Neumann et al. identify as necessary for a media storm: graphic footage, partisan blame attribution, and </w:t>
      </w:r>
      <w:r w:rsidRPr="00F912C5">
        <w:lastRenderedPageBreak/>
        <w:t>federally salient policy stakes. Their two-step measurement strategy offers an immediately importable tool: we will flag comments as “controversial” if they contain any of the same conflict lexicon, and as “politicised” only if those conflict words co-occur with partisan hashtags (#BidenBorderCrisis, #TrumpDeportations) or named actors. Their finding that Sinclair ownership predicts conflict independent of case counts motivates us to collect YouTube channel-level metadata: if a video is uploaded by a Sinclair-affiliated local station, we can test whether the Sinclair effect travels from broadcast to social media. Their use of time-stratified models (Wave 1-4) also guides our identification strategy: we will estimate separate regression discontinuities in the week surrounding the shooting for each of three pandemic phases (pre-vaccine, vaccine roll-out, Delta resurgence) to see whether elite cuing effects decay as the issue-attention cycle matures. Finally, their validation exercise—hand-coding 200 random stories to calibrate precision/recall—provides a template for assessing the accuracy of our BERT-based sentiment classifier, ensuring that we do not conflate informational mentions of ICE with emotionally charged, legitimacy-undermining language.</w:t>
      </w:r>
    </w:p>
    <w:p w14:paraId="3D49F06B" w14:textId="77777777" w:rsidR="00F912C5" w:rsidRDefault="00F912C5"/>
    <w:sectPr w:rsidR="00F912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C5"/>
    <w:rsid w:val="00C6351D"/>
    <w:rsid w:val="00F91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F1AC"/>
  <w15:chartTrackingRefBased/>
  <w15:docId w15:val="{459C1295-DB86-42C4-8AB7-BFC0CBAD2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12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12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12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12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12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12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12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12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12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12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12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12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12C5"/>
    <w:rPr>
      <w:rFonts w:cstheme="majorBidi"/>
      <w:color w:val="0F4761" w:themeColor="accent1" w:themeShade="BF"/>
      <w:sz w:val="28"/>
      <w:szCs w:val="28"/>
    </w:rPr>
  </w:style>
  <w:style w:type="character" w:customStyle="1" w:styleId="50">
    <w:name w:val="标题 5 字符"/>
    <w:basedOn w:val="a0"/>
    <w:link w:val="5"/>
    <w:uiPriority w:val="9"/>
    <w:semiHidden/>
    <w:rsid w:val="00F912C5"/>
    <w:rPr>
      <w:rFonts w:cstheme="majorBidi"/>
      <w:color w:val="0F4761" w:themeColor="accent1" w:themeShade="BF"/>
      <w:sz w:val="24"/>
    </w:rPr>
  </w:style>
  <w:style w:type="character" w:customStyle="1" w:styleId="60">
    <w:name w:val="标题 6 字符"/>
    <w:basedOn w:val="a0"/>
    <w:link w:val="6"/>
    <w:uiPriority w:val="9"/>
    <w:semiHidden/>
    <w:rsid w:val="00F912C5"/>
    <w:rPr>
      <w:rFonts w:cstheme="majorBidi"/>
      <w:b/>
      <w:bCs/>
      <w:color w:val="0F4761" w:themeColor="accent1" w:themeShade="BF"/>
    </w:rPr>
  </w:style>
  <w:style w:type="character" w:customStyle="1" w:styleId="70">
    <w:name w:val="标题 7 字符"/>
    <w:basedOn w:val="a0"/>
    <w:link w:val="7"/>
    <w:uiPriority w:val="9"/>
    <w:semiHidden/>
    <w:rsid w:val="00F912C5"/>
    <w:rPr>
      <w:rFonts w:cstheme="majorBidi"/>
      <w:b/>
      <w:bCs/>
      <w:color w:val="595959" w:themeColor="text1" w:themeTint="A6"/>
    </w:rPr>
  </w:style>
  <w:style w:type="character" w:customStyle="1" w:styleId="80">
    <w:name w:val="标题 8 字符"/>
    <w:basedOn w:val="a0"/>
    <w:link w:val="8"/>
    <w:uiPriority w:val="9"/>
    <w:semiHidden/>
    <w:rsid w:val="00F912C5"/>
    <w:rPr>
      <w:rFonts w:cstheme="majorBidi"/>
      <w:color w:val="595959" w:themeColor="text1" w:themeTint="A6"/>
    </w:rPr>
  </w:style>
  <w:style w:type="character" w:customStyle="1" w:styleId="90">
    <w:name w:val="标题 9 字符"/>
    <w:basedOn w:val="a0"/>
    <w:link w:val="9"/>
    <w:uiPriority w:val="9"/>
    <w:semiHidden/>
    <w:rsid w:val="00F912C5"/>
    <w:rPr>
      <w:rFonts w:eastAsiaTheme="majorEastAsia" w:cstheme="majorBidi"/>
      <w:color w:val="595959" w:themeColor="text1" w:themeTint="A6"/>
    </w:rPr>
  </w:style>
  <w:style w:type="paragraph" w:styleId="a3">
    <w:name w:val="Title"/>
    <w:basedOn w:val="a"/>
    <w:next w:val="a"/>
    <w:link w:val="a4"/>
    <w:uiPriority w:val="10"/>
    <w:qFormat/>
    <w:rsid w:val="00F912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1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12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12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12C5"/>
    <w:pPr>
      <w:spacing w:before="160"/>
      <w:jc w:val="center"/>
    </w:pPr>
    <w:rPr>
      <w:i/>
      <w:iCs/>
      <w:color w:val="404040" w:themeColor="text1" w:themeTint="BF"/>
    </w:rPr>
  </w:style>
  <w:style w:type="character" w:customStyle="1" w:styleId="a8">
    <w:name w:val="引用 字符"/>
    <w:basedOn w:val="a0"/>
    <w:link w:val="a7"/>
    <w:uiPriority w:val="29"/>
    <w:rsid w:val="00F912C5"/>
    <w:rPr>
      <w:i/>
      <w:iCs/>
      <w:color w:val="404040" w:themeColor="text1" w:themeTint="BF"/>
    </w:rPr>
  </w:style>
  <w:style w:type="paragraph" w:styleId="a9">
    <w:name w:val="List Paragraph"/>
    <w:basedOn w:val="a"/>
    <w:uiPriority w:val="34"/>
    <w:qFormat/>
    <w:rsid w:val="00F912C5"/>
    <w:pPr>
      <w:ind w:left="720"/>
      <w:contextualSpacing/>
    </w:pPr>
  </w:style>
  <w:style w:type="character" w:styleId="aa">
    <w:name w:val="Intense Emphasis"/>
    <w:basedOn w:val="a0"/>
    <w:uiPriority w:val="21"/>
    <w:qFormat/>
    <w:rsid w:val="00F912C5"/>
    <w:rPr>
      <w:i/>
      <w:iCs/>
      <w:color w:val="0F4761" w:themeColor="accent1" w:themeShade="BF"/>
    </w:rPr>
  </w:style>
  <w:style w:type="paragraph" w:styleId="ab">
    <w:name w:val="Intense Quote"/>
    <w:basedOn w:val="a"/>
    <w:next w:val="a"/>
    <w:link w:val="ac"/>
    <w:uiPriority w:val="30"/>
    <w:qFormat/>
    <w:rsid w:val="00F9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12C5"/>
    <w:rPr>
      <w:i/>
      <w:iCs/>
      <w:color w:val="0F4761" w:themeColor="accent1" w:themeShade="BF"/>
    </w:rPr>
  </w:style>
  <w:style w:type="character" w:styleId="ad">
    <w:name w:val="Intense Reference"/>
    <w:basedOn w:val="a0"/>
    <w:uiPriority w:val="32"/>
    <w:qFormat/>
    <w:rsid w:val="00F91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6222</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 Dai</dc:creator>
  <cp:keywords/>
  <dc:description/>
  <cp:lastModifiedBy>Zijin Dai</cp:lastModifiedBy>
  <cp:revision>1</cp:revision>
  <dcterms:created xsi:type="dcterms:W3CDTF">2026-01-18T14:12:00Z</dcterms:created>
  <dcterms:modified xsi:type="dcterms:W3CDTF">2026-01-18T14:12:00Z</dcterms:modified>
</cp:coreProperties>
</file>