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Neg Blocks — National Service</w:t>
      </w:r>
    </w:p>
    <w:p>
      <w:pPr>
        <w:pStyle w:val="Heading1"/>
      </w:pPr>
      <w:r>
        <w:t>AB1 — Coercion / Instrumentalization</w:t>
      </w:r>
    </w:p>
    <w:p>
      <w:r>
        <w:rPr>
          <w:b/>
        </w:rPr>
        <w:t xml:space="preserve">CARDS: </w:t>
      </w:r>
      <w:r>
        <w:t>read the first two, cut the rest if short on time.</w:t>
      </w:r>
    </w:p>
    <w:p>
      <w:r>
        <w:rPr>
          <w:b/>
          <w:color w:val="C00000"/>
        </w:rPr>
        <w:t xml:space="preserve">NOTE: </w:t>
      </w:r>
      <w:r>
        <w:t>signpost before reading.</w:t>
      </w:r>
    </w:p>
    <w:p>
      <w:pPr>
        <w:pStyle w:val="Heading2"/>
      </w:pPr>
      <w:r>
        <w:t>ONLY IF they go for the framework</w:t>
      </w:r>
    </w:p>
    <w:p>
      <w:r>
        <w:rPr>
          <w:b/>
          <w:sz w:val="24"/>
        </w:rPr>
        <w:t>One. Coercion / Instrumentalization outweighs.</w:t>
      </w:r>
    </w:p>
    <w:p>
      <w:r>
        <w:rPr>
          <w:sz w:val="20"/>
          <w:u w:val="single"/>
        </w:rPr>
        <w:t>Author 2019, Journal of Things</w:t>
      </w:r>
    </w:p>
    <w:p>
      <w:r>
        <w:rPr>
          <w:sz w:val="16"/>
        </w:rPr>
        <w:t xml:space="preserve">Mandatory </w:t>
      </w:r>
      <w:r>
        <w:rPr>
          <w:sz w:val="16"/>
        </w:rPr>
        <w:t xml:space="preserve">service </w:t>
      </w:r>
      <w:r>
        <w:rPr>
          <w:sz w:val="22"/>
          <w:highlight w:val="yellow"/>
          <w:u w:val="single"/>
        </w:rPr>
        <w:t xml:space="preserve">treats </w:t>
      </w:r>
      <w:r>
        <w:rPr>
          <w:sz w:val="16"/>
        </w:rPr>
        <w:t xml:space="preserve">people </w:t>
      </w:r>
      <w:r>
        <w:rPr>
          <w:sz w:val="16"/>
        </w:rPr>
        <w:t xml:space="preserve">as </w:t>
      </w:r>
      <w:r>
        <w:rPr>
          <w:sz w:val="22"/>
          <w:highlight w:val="yellow"/>
          <w:u w:val="single"/>
        </w:rPr>
        <w:t xml:space="preserve">means. </w:t>
      </w:r>
    </w:p>
    <w:p>
      <w:pPr>
        <w:pStyle w:val="Heading1"/>
      </w:pPr>
      <w:r>
        <w:t>AB2 — 13th Amendment</w:t>
      </w:r>
    </w:p>
    <w:p>
      <w:r>
        <w:rPr>
          <w:b/>
        </w:rPr>
        <w:t xml:space="preserve">CARDS: </w:t>
      </w:r>
      <w:r>
        <w:t>read the first two, cut the rest if short on time.</w:t>
      </w:r>
    </w:p>
    <w:p>
      <w:r>
        <w:rPr>
          <w:b/>
          <w:color w:val="C00000"/>
        </w:rPr>
        <w:t xml:space="preserve">NOTE: </w:t>
      </w:r>
      <w:r>
        <w:t>signpost before reading.</w:t>
      </w:r>
    </w:p>
    <w:p>
      <w:pPr>
        <w:pStyle w:val="Heading2"/>
      </w:pPr>
      <w:r>
        <w:t>ONLY IF they go for the framework</w:t>
      </w:r>
    </w:p>
    <w:p>
      <w:r>
        <w:rPr>
          <w:b/>
          <w:sz w:val="24"/>
        </w:rPr>
        <w:t>One. 13th Amendment outweighs.</w:t>
      </w:r>
    </w:p>
    <w:p>
      <w:r>
        <w:rPr>
          <w:sz w:val="20"/>
          <w:u w:val="single"/>
        </w:rPr>
        <w:t>Author 2019, Journal of Things</w:t>
      </w:r>
    </w:p>
    <w:p>
      <w:r>
        <w:rPr>
          <w:sz w:val="16"/>
        </w:rPr>
        <w:t xml:space="preserve">The </w:t>
      </w:r>
      <w:r>
        <w:rPr>
          <w:sz w:val="16"/>
        </w:rPr>
        <w:t xml:space="preserve">draft </w:t>
      </w:r>
      <w:r>
        <w:rPr>
          <w:sz w:val="16"/>
        </w:rPr>
        <w:t xml:space="preserve">was </w:t>
      </w:r>
      <w:r>
        <w:rPr>
          <w:sz w:val="22"/>
          <w:highlight w:val="yellow"/>
          <w:u w:val="single"/>
        </w:rPr>
        <w:t xml:space="preserve">upheld </w:t>
      </w:r>
      <w:r>
        <w:rPr>
          <w:sz w:val="16"/>
        </w:rPr>
        <w:t xml:space="preserve">in </w:t>
      </w:r>
      <w:r>
        <w:rPr>
          <w:sz w:val="16"/>
        </w:rPr>
        <w:t xml:space="preserve">Arver </w:t>
      </w:r>
      <w:r>
        <w:rPr>
          <w:sz w:val="16"/>
        </w:rPr>
        <w:t xml:space="preserve">v. </w:t>
      </w:r>
      <w:r>
        <w:rPr>
          <w:sz w:val="16"/>
        </w:rPr>
        <w:t xml:space="preserve">United </w:t>
      </w:r>
      <w:r>
        <w:rPr>
          <w:sz w:val="16"/>
        </w:rPr>
        <w:t xml:space="preserve">States </w:t>
      </w:r>
      <w:r>
        <w:rPr>
          <w:sz w:val="16"/>
        </w:rPr>
        <w:t xml:space="preserve">in </w:t>
      </w:r>
      <w:r>
        <w:rPr>
          <w:sz w:val="22"/>
          <w:highlight w:val="yellow"/>
          <w:u w:val="single"/>
        </w:rPr>
        <w:t xml:space="preserve">1918.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Case</w:t>
            </w:r>
          </w:p>
        </w:tc>
      </w:tr>
      <w:tr>
        <w:tc>
          <w:tcPr>
            <w:tcW w:type="dxa" w:w="4320"/>
          </w:tcPr>
          <w:p>
            <w:r>
              <w:t>1918</w:t>
            </w:r>
          </w:p>
        </w:tc>
        <w:tc>
          <w:tcPr>
            <w:tcW w:type="dxa" w:w="4320"/>
          </w:tcPr>
          <w:p>
            <w:r>
              <w:t>Arver</w:t>
            </w:r>
          </w:p>
        </w:tc>
      </w:tr>
    </w:tbl>
    <w:p>
      <w:pPr>
        <w:pStyle w:val="Heading1"/>
      </w:pPr>
      <w:r>
        <w:t>AB3 — Coerced Virtue / Voluntary Is Better</w:t>
      </w:r>
    </w:p>
    <w:p>
      <w:r>
        <w:rPr>
          <w:b/>
        </w:rPr>
        <w:t xml:space="preserve">CARDS: </w:t>
      </w:r>
      <w:r>
        <w:t>read the first two, cut the rest if short on time.</w:t>
      </w:r>
    </w:p>
    <w:p>
      <w:r>
        <w:rPr>
          <w:b/>
          <w:color w:val="C00000"/>
        </w:rPr>
        <w:t xml:space="preserve">NOTE: </w:t>
      </w:r>
      <w:r>
        <w:t>signpost before reading.</w:t>
      </w:r>
    </w:p>
    <w:p>
      <w:pPr>
        <w:pStyle w:val="Heading2"/>
      </w:pPr>
      <w:r>
        <w:t>ONLY IF they go for the framework</w:t>
      </w:r>
    </w:p>
    <w:p>
      <w:r>
        <w:rPr>
          <w:b/>
          <w:sz w:val="24"/>
        </w:rPr>
        <w:t>One. Coerced Virtue / Voluntary Is Better outweighs.</w:t>
      </w:r>
    </w:p>
    <w:p>
      <w:r>
        <w:rPr>
          <w:sz w:val="20"/>
          <w:u w:val="single"/>
        </w:rPr>
        <w:t>Author 2019, Journal of Things</w:t>
      </w:r>
    </w:p>
    <w:p>
      <w:r>
        <w:rPr>
          <w:sz w:val="16"/>
        </w:rPr>
        <w:t xml:space="preserve">Virtue </w:t>
      </w:r>
      <w:r>
        <w:rPr>
          <w:sz w:val="16"/>
        </w:rPr>
        <w:t xml:space="preserve">that </w:t>
      </w:r>
      <w:r>
        <w:rPr>
          <w:sz w:val="16"/>
        </w:rPr>
        <w:t xml:space="preserve">is </w:t>
      </w:r>
      <w:r>
        <w:rPr>
          <w:sz w:val="22"/>
          <w:highlight w:val="yellow"/>
          <w:u w:val="single"/>
        </w:rPr>
        <w:t xml:space="preserve">compelled </w:t>
      </w:r>
      <w:r>
        <w:rPr>
          <w:sz w:val="16"/>
        </w:rPr>
        <w:t xml:space="preserve">is </w:t>
      </w:r>
      <w:r>
        <w:rPr>
          <w:sz w:val="16"/>
        </w:rPr>
        <w:t xml:space="preserve">not </w:t>
      </w:r>
      <w:r>
        <w:rPr>
          <w:sz w:val="16"/>
        </w:rPr>
        <w:t xml:space="preserve">virtue </w:t>
      </w:r>
      <w:r>
        <w:rPr>
          <w:sz w:val="16"/>
        </w:rPr>
        <w:t xml:space="preserve">at </w:t>
      </w:r>
      <w:r>
        <w:rPr>
          <w:sz w:val="16"/>
        </w:rPr>
        <w:t xml:space="preserve">all. </w:t>
      </w:r>
    </w:p>
    <w:p>
      <w:pPr>
        <w:pStyle w:val="Heading1"/>
      </w:pPr>
      <w:r>
        <w:t>AB4 — Cost / Feasibility</w:t>
      </w:r>
    </w:p>
    <w:p>
      <w:r>
        <w:rPr>
          <w:b/>
        </w:rPr>
        <w:t xml:space="preserve">CARDS: </w:t>
      </w:r>
      <w:r>
        <w:t>read the first two, cut the rest if short on time.</w:t>
      </w:r>
    </w:p>
    <w:p>
      <w:r>
        <w:rPr>
          <w:b/>
          <w:color w:val="C00000"/>
        </w:rPr>
        <w:t xml:space="preserve">NOTE: </w:t>
      </w:r>
      <w:r>
        <w:t>signpost before reading.</w:t>
      </w:r>
    </w:p>
    <w:p>
      <w:pPr>
        <w:pStyle w:val="Heading2"/>
      </w:pPr>
      <w:r>
        <w:t>ONLY IF they go for the framework</w:t>
      </w:r>
    </w:p>
    <w:p>
      <w:r>
        <w:rPr>
          <w:b/>
          <w:sz w:val="24"/>
        </w:rPr>
        <w:t>One. Cost / Feasibility outweighs.</w:t>
      </w:r>
    </w:p>
    <w:p>
      <w:r>
        <w:rPr>
          <w:sz w:val="20"/>
          <w:u w:val="single"/>
        </w:rPr>
        <w:t>Author 2019, Journal of Things</w:t>
      </w:r>
    </w:p>
    <w:p>
      <w:r>
        <w:rPr>
          <w:sz w:val="16"/>
        </w:rPr>
        <w:t xml:space="preserve">A </w:t>
      </w:r>
      <w:r>
        <w:rPr>
          <w:sz w:val="16"/>
        </w:rPr>
        <w:t xml:space="preserve">universal </w:t>
      </w:r>
      <w:r>
        <w:rPr>
          <w:sz w:val="16"/>
        </w:rPr>
        <w:t xml:space="preserve">program </w:t>
      </w:r>
      <w:r>
        <w:rPr>
          <w:sz w:val="16"/>
        </w:rPr>
        <w:t xml:space="preserve">would </w:t>
      </w:r>
      <w:r>
        <w:rPr>
          <w:sz w:val="16"/>
        </w:rPr>
        <w:t xml:space="preserve">cost </w:t>
      </w:r>
      <w:r>
        <w:rPr>
          <w:sz w:val="16"/>
        </w:rPr>
        <w:t xml:space="preserve">over </w:t>
      </w:r>
      <w:r>
        <w:rPr>
          <w:sz w:val="22"/>
          <w:highlight w:val="yellow"/>
          <w:u w:val="single"/>
        </w:rPr>
        <w:t xml:space="preserve">100 </w:t>
      </w:r>
      <w:r>
        <w:rPr>
          <w:sz w:val="22"/>
          <w:highlight w:val="yellow"/>
          <w:u w:val="single"/>
        </w:rPr>
        <w:t xml:space="preserve">billion </w:t>
      </w:r>
      <w:r>
        <w:rPr>
          <w:sz w:val="16"/>
        </w:rPr>
        <w:t xml:space="preserve">dollars </w:t>
      </w:r>
      <w:r>
        <w:rPr>
          <w:sz w:val="16"/>
        </w:rPr>
        <w:t xml:space="preserve">per </w:t>
      </w:r>
      <w:r>
        <w:rPr>
          <w:sz w:val="16"/>
        </w:rPr>
        <w:t xml:space="preserve">year. </w:t>
      </w:r>
    </w:p>
    <w:p/>
    <w:p>
      <w:pPr>
        <w:pStyle w:val="Heading1"/>
      </w:pPr>
      <w:r>
        <w:t>AB8 — Liberty / Mill's harm principle (PRIORITY)</w:t>
      </w:r>
    </w:p>
    <w:p>
      <w:r>
        <w:rPr>
          <w:b/>
        </w:rPr>
        <w:t xml:space="preserve">CARDS: </w:t>
      </w:r>
      <w:r>
        <w:t>read the first two, cut the rest if short on time.</w:t>
      </w:r>
    </w:p>
    <w:p>
      <w:r>
        <w:rPr>
          <w:b/>
          <w:color w:val="C00000"/>
        </w:rPr>
        <w:t xml:space="preserve">NOTE: </w:t>
      </w:r>
      <w:r>
        <w:t>signpost before reading.</w:t>
      </w:r>
    </w:p>
    <w:p>
      <w:pPr>
        <w:pStyle w:val="Heading2"/>
      </w:pPr>
      <w:r>
        <w:t>ONLY IF they go for the framework</w:t>
      </w:r>
    </w:p>
    <w:p>
      <w:r>
        <w:rPr>
          <w:b/>
          <w:sz w:val="24"/>
        </w:rPr>
        <w:t>One. Liberty / Mill's harm principle (PRIORITY) outweighs.</w:t>
      </w:r>
    </w:p>
    <w:p>
      <w:r>
        <w:rPr>
          <w:sz w:val="20"/>
          <w:u w:val="single"/>
        </w:rPr>
        <w:t>Author 2019, Journal of Things</w:t>
      </w:r>
    </w:p>
    <w:p>
      <w:r>
        <w:rPr>
          <w:sz w:val="16"/>
        </w:rPr>
        <w:t xml:space="preserve">The </w:t>
      </w:r>
      <w:r>
        <w:rPr>
          <w:sz w:val="16"/>
        </w:rPr>
        <w:t xml:space="preserve">only </w:t>
      </w:r>
      <w:r>
        <w:rPr>
          <w:sz w:val="16"/>
        </w:rPr>
        <w:t xml:space="preserve">purpose </w:t>
      </w:r>
      <w:r>
        <w:rPr>
          <w:sz w:val="16"/>
        </w:rPr>
        <w:t xml:space="preserve">for </w:t>
      </w:r>
      <w:r>
        <w:rPr>
          <w:sz w:val="16"/>
        </w:rPr>
        <w:t xml:space="preserve">which </w:t>
      </w:r>
      <w:r>
        <w:rPr>
          <w:sz w:val="16"/>
        </w:rPr>
        <w:t xml:space="preserve">power </w:t>
      </w:r>
      <w:r>
        <w:rPr>
          <w:sz w:val="16"/>
        </w:rPr>
        <w:t xml:space="preserve">can </w:t>
      </w:r>
      <w:r>
        <w:rPr>
          <w:sz w:val="16"/>
        </w:rPr>
        <w:t xml:space="preserve">be </w:t>
      </w:r>
      <w:r>
        <w:rPr>
          <w:sz w:val="16"/>
        </w:rPr>
        <w:t xml:space="preserve">rightfully </w:t>
      </w:r>
      <w:r>
        <w:rPr>
          <w:sz w:val="16"/>
        </w:rPr>
        <w:t xml:space="preserve">exercised </w:t>
      </w:r>
      <w:r>
        <w:rPr>
          <w:sz w:val="16"/>
        </w:rPr>
        <w:t xml:space="preserve">is </w:t>
      </w:r>
      <w:r>
        <w:rPr>
          <w:sz w:val="16"/>
        </w:rPr>
        <w:t xml:space="preserve">to </w:t>
      </w:r>
      <w:r>
        <w:rPr>
          <w:sz w:val="22"/>
          <w:highlight w:val="yellow"/>
          <w:u w:val="single"/>
        </w:rPr>
        <w:t xml:space="preserve">prevent </w:t>
      </w:r>
      <w:r>
        <w:rPr>
          <w:sz w:val="22"/>
          <w:highlight w:val="yellow"/>
          <w:u w:val="single"/>
        </w:rPr>
        <w:t xml:space="preserve">harm </w:t>
      </w:r>
      <w:r>
        <w:rPr>
          <w:sz w:val="16"/>
        </w:rPr>
        <w:t xml:space="preserve">to </w:t>
      </w:r>
      <w:r>
        <w:rPr>
          <w:sz w:val="16"/>
        </w:rPr>
        <w:t xml:space="preserve">others. </w:t>
      </w:r>
    </w:p>
    <w:p>
      <w:pPr>
        <w:pStyle w:val="Heading1"/>
      </w:pPr>
      <w:r>
        <w:t>AB4 — Cost / Feasibility</w:t>
      </w:r>
    </w:p>
    <w:p>
      <w:r>
        <w:t>Second copy of the cost block.</w:t>
      </w:r>
    </w:p>
    <w:p>
      <w:pPr>
        <w:pStyle w:val="Heading1"/>
      </w:pPr>
      <w:r>
        <w:t>AB20 — Mental health harms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