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val="en-US" w:eastAsia="zh-CN"/>
        </w:rPr>
        <w:t>青年及青少年</w:t>
      </w:r>
      <w:r>
        <w:rPr>
          <w:rFonts w:hint="eastAsia"/>
          <w:sz w:val="28"/>
          <w:szCs w:val="28"/>
        </w:rPr>
        <w:t>群体特征提供快速定位，同时支持灵活的</w:t>
      </w:r>
      <w:r>
        <w:rPr>
          <w:rFonts w:hint="eastAsia"/>
          <w:sz w:val="28"/>
          <w:szCs w:val="28"/>
          <w:lang w:val="en-US" w:eastAsia="zh-CN"/>
        </w:rPr>
        <w:t>主题</w:t>
      </w: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如何能实现更加准确，更有参考性的翻译。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36D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15</TotalTime>
  <ScaleCrop>false</ScaleCrop>
  <LinksUpToDate>false</LinksUpToDate>
  <CharactersWithSpaces>240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Orinji</cp:lastModifiedBy>
  <dcterms:modified xsi:type="dcterms:W3CDTF">2019-03-21T05:04:04Z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