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的社交平台</w:t>
            </w:r>
            <w:r>
              <w:rPr>
                <w:rFonts w:hint="eastAsia" w:hAnsi="宋体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用户习惯于“潜水”，“围观”，没有话题或意愿来参与社交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</w:rPr>
              <w:t>无法实现</w:t>
            </w:r>
            <w:r>
              <w:rPr>
                <w:rFonts w:hint="eastAsia" w:ascii="Calibri" w:hAnsi="Calibri"/>
                <w:lang w:val="en-US" w:eastAsia="zh-CN"/>
              </w:rPr>
              <w:t>跨国交流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因为面向的是国际用户，所以语言是一个很严重的问题。翻译是否流畅，翻译是否准确是个很大的挑战。</w:t>
            </w:r>
            <w:bookmarkStart w:id="0" w:name="_GoBack"/>
            <w:bookmarkEnd w:id="0"/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7DE0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23</TotalTime>
  <ScaleCrop>false</ScaleCrop>
  <LinksUpToDate>false</LinksUpToDate>
  <CharactersWithSpaces>261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Orinji</cp:lastModifiedBy>
  <dcterms:modified xsi:type="dcterms:W3CDTF">2019-03-21T05:00:58Z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