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冷门爱好交友网风险登记册</w:t>
      </w:r>
    </w:p>
    <w:tbl>
      <w:tblPr>
        <w:tblStyle w:val="2"/>
        <w:tblW w:w="83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02"/>
        <w:gridCol w:w="862"/>
        <w:gridCol w:w="2128"/>
        <w:gridCol w:w="1036"/>
        <w:gridCol w:w="589"/>
        <w:gridCol w:w="611"/>
        <w:gridCol w:w="905"/>
        <w:gridCol w:w="18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9" w:hRule="atLeast"/>
        </w:trPr>
        <w:tc>
          <w:tcPr>
            <w:tcW w:w="40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86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212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03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  <w:tc>
          <w:tcPr>
            <w:tcW w:w="589" w:type="dxa"/>
          </w:tcPr>
          <w:p>
            <w:pPr>
              <w:ind w:right="39"/>
              <w:rPr>
                <w:rFonts w:hint="default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Cs w:val="21"/>
                <w:lang w:val="en-US" w:eastAsia="zh-CN"/>
              </w:rPr>
              <w:t>概率</w:t>
            </w:r>
          </w:p>
        </w:tc>
        <w:tc>
          <w:tcPr>
            <w:tcW w:w="611" w:type="dxa"/>
          </w:tcPr>
          <w:p>
            <w:pPr>
              <w:ind w:right="39"/>
              <w:rPr>
                <w:rFonts w:hint="default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Cs w:val="21"/>
                <w:lang w:val="en-US" w:eastAsia="zh-CN"/>
              </w:rPr>
              <w:t>影响</w:t>
            </w:r>
          </w:p>
        </w:tc>
        <w:tc>
          <w:tcPr>
            <w:tcW w:w="905" w:type="dxa"/>
          </w:tcPr>
          <w:p>
            <w:pPr>
              <w:ind w:right="39"/>
              <w:rPr>
                <w:rFonts w:hint="default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Cs w:val="21"/>
                <w:lang w:val="en-US" w:eastAsia="zh-CN"/>
              </w:rPr>
              <w:t>责任人</w:t>
            </w:r>
          </w:p>
        </w:tc>
        <w:tc>
          <w:tcPr>
            <w:tcW w:w="1811" w:type="dxa"/>
          </w:tcPr>
          <w:p>
            <w:pPr>
              <w:ind w:right="39"/>
              <w:rPr>
                <w:rFonts w:hint="default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Cs w:val="21"/>
                <w:lang w:val="en-US" w:eastAsia="zh-CN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77" w:hRule="atLeast"/>
        </w:trPr>
        <w:tc>
          <w:tcPr>
            <w:tcW w:w="40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86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爱好者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12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03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589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611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905" w:type="dxa"/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张鑫媛</w:t>
            </w:r>
          </w:p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金奕含</w:t>
            </w:r>
          </w:p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倪泽苒</w:t>
            </w:r>
          </w:p>
        </w:tc>
        <w:tc>
          <w:tcPr>
            <w:tcW w:w="1811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提高认可度，扩大接触面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77" w:hRule="atLeast"/>
        </w:trPr>
        <w:tc>
          <w:tcPr>
            <w:tcW w:w="402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862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冷门爱好的收集</w:t>
            </w:r>
          </w:p>
        </w:tc>
        <w:tc>
          <w:tcPr>
            <w:tcW w:w="2128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获取冷门爱好的途径较少，调查问卷可能会产生无用信息或者噪声，爱好者提供的冷门爱好过于简洁，描述不清</w:t>
            </w:r>
          </w:p>
        </w:tc>
        <w:tc>
          <w:tcPr>
            <w:tcW w:w="103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589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61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905" w:type="dxa"/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张鑫媛</w:t>
            </w:r>
          </w:p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户子超</w:t>
            </w:r>
          </w:p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倪泽苒</w:t>
            </w:r>
          </w:p>
        </w:tc>
        <w:tc>
          <w:tcPr>
            <w:tcW w:w="1811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对提供详细冷门爱好信息的用户给予一定奖励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77" w:hRule="atLeast"/>
        </w:trPr>
        <w:tc>
          <w:tcPr>
            <w:tcW w:w="402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86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12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03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589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中</w:t>
            </w:r>
          </w:p>
        </w:tc>
        <w:tc>
          <w:tcPr>
            <w:tcW w:w="61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905" w:type="dxa"/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户子超</w:t>
            </w:r>
          </w:p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金奕含</w:t>
            </w:r>
          </w:p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倪泽苒</w:t>
            </w:r>
          </w:p>
        </w:tc>
        <w:tc>
          <w:tcPr>
            <w:tcW w:w="1811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及时调整人员分配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95" w:hRule="atLeast"/>
        </w:trPr>
        <w:tc>
          <w:tcPr>
            <w:tcW w:w="402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86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12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3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589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61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905" w:type="dxa"/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张鑫媛</w:t>
            </w:r>
          </w:p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户子超</w:t>
            </w:r>
          </w:p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金奕含</w:t>
            </w:r>
          </w:p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孙亦璇</w:t>
            </w:r>
          </w:p>
        </w:tc>
        <w:tc>
          <w:tcPr>
            <w:tcW w:w="181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扩大宣传力度</w:t>
            </w:r>
          </w:p>
        </w:tc>
      </w:tr>
    </w:tbl>
    <w:p>
      <w:pPr>
        <w:jc w:val="both"/>
        <w:rPr>
          <w:rFonts w:hint="default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Lancer</cp:lastModifiedBy>
  <dcterms:modified xsi:type="dcterms:W3CDTF">2019-06-18T08:19:25Z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