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323232"/>
          <w:sz w:val="24"/>
        </w:rPr>
        <w:t>ĐẠI HỌC QUỐC GIA THÀNH PHỐ HỒ CHÍ MINH</w:t>
        <w:br/>
        <w:t>TRƯỜNG ĐẠI HỌC CÔNG NGHỆ THÔNG TIN</w:t>
      </w:r>
    </w:p>
    <w:p>
      <w:pPr>
        <w:spacing w:after="280"/>
        <w:jc w:val="center"/>
      </w:pPr>
      <w:r>
        <w:rPr>
          <w:rFonts w:ascii="Times New Roman" w:hAnsi="Times New Roman"/>
          <w:color w:val="969696"/>
          <w:sz w:val="20"/>
        </w:rPr>
        <w:t>-----------------------***-----------------------</w:t>
      </w:r>
    </w:p>
    <w:p>
      <w:pPr>
        <w:spacing w:after="80"/>
        <w:jc w:val="center"/>
      </w:pPr>
      <w:r>
        <w:rPr>
          <w:rFonts w:ascii="Times New Roman" w:hAnsi="Times New Roman"/>
          <w:b/>
          <w:color w:val="183C6C"/>
          <w:sz w:val="32"/>
        </w:rPr>
        <w:t>BÁO CÁO TIẾN ĐỘ ĐỀ TÀI KHÓA LUẬN TỐT NGHIỆP</w:t>
        <w:br/>
      </w:r>
      <w:r>
        <w:rPr>
          <w:rFonts w:ascii="Times New Roman" w:hAnsi="Times New Roman"/>
          <w:b/>
          <w:color w:val="296299"/>
          <w:sz w:val="26"/>
        </w:rPr>
        <w:t>GIAI ĐOẠN: TUẦN 1–2 (07/09/2026 – 20/09/2026)</w:t>
      </w:r>
    </w:p>
    <w:p>
      <w:pPr>
        <w:spacing w:after="120"/>
      </w:pP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58"/>
        <w:gridCol w:w="4658"/>
      </w:tblGrid>
      <w:tr>
        <w:tc>
          <w:tcPr>
            <w:tcW w:type="dxa" w:w="3168"/>
            <w:tcMar>
              <w:top w:w="100" w:type="dxa"/>
              <w:bottom w:w="100" w:type="dxa"/>
              <w:left w:w="140" w:type="dxa"/>
              <w:right w:w="140" w:type="dxa"/>
            </w:tcMar>
            <w:shd w:fill="F8FAFC"/>
          </w:tcPr>
          <w:p>
            <w:pPr>
              <w:spacing w:after="0"/>
            </w:pPr>
            <w:r>
              <w:rPr>
                <w:rFonts w:ascii="Times New Roman" w:hAnsi="Times New Roman"/>
                <w:b/>
                <w:sz w:val="22"/>
              </w:rPr>
              <w:t>Tên đề tài (Tiếng Việt):</w:t>
            </w:r>
          </w:p>
        </w:tc>
        <w:tc>
          <w:tcPr>
            <w:tcW w:type="dxa" w:w="6149"/>
            <w:tcMar>
              <w:top w:w="100" w:type="dxa"/>
              <w:bottom w:w="100" w:type="dxa"/>
              <w:left w:w="140" w:type="dxa"/>
              <w:right w:w="140" w:type="dxa"/>
            </w:tcMar>
          </w:tcPr>
          <w:p>
            <w:pPr>
              <w:spacing w:after="0"/>
            </w:pPr>
            <w:r>
              <w:rPr>
                <w:rFonts w:ascii="Times New Roman" w:hAnsi="Times New Roman"/>
                <w:b/>
                <w:sz w:val="22"/>
              </w:rPr>
              <w:t>Hệ thống review mã nguồn và phát hiện lỗi tự động (AI Code Auditor)</w:t>
            </w:r>
          </w:p>
        </w:tc>
      </w:tr>
      <w:tr>
        <w:tc>
          <w:tcPr>
            <w:tcW w:type="dxa" w:w="3168"/>
            <w:tcMar>
              <w:top w:w="100" w:type="dxa"/>
              <w:bottom w:w="100" w:type="dxa"/>
              <w:left w:w="140" w:type="dxa"/>
              <w:right w:w="140" w:type="dxa"/>
            </w:tcMar>
            <w:shd w:fill="F8FAFC"/>
          </w:tcPr>
          <w:p>
            <w:pPr>
              <w:spacing w:after="0"/>
            </w:pPr>
            <w:r>
              <w:rPr>
                <w:rFonts w:ascii="Times New Roman" w:hAnsi="Times New Roman"/>
                <w:b/>
                <w:sz w:val="22"/>
              </w:rPr>
              <w:t>Tên đề tài (Tiếng Anh):</w:t>
            </w:r>
          </w:p>
        </w:tc>
        <w:tc>
          <w:tcPr>
            <w:tcW w:type="dxa" w:w="6149"/>
            <w:tcMar>
              <w:top w:w="100" w:type="dxa"/>
              <w:bottom w:w="100" w:type="dxa"/>
              <w:left w:w="140" w:type="dxa"/>
              <w:right w:w="140" w:type="dxa"/>
            </w:tcMar>
          </w:tcPr>
          <w:p>
            <w:pPr>
              <w:spacing w:after="0"/>
            </w:pPr>
            <w:r>
              <w:rPr>
                <w:rFonts w:ascii="Times New Roman" w:hAnsi="Times New Roman"/>
                <w:b/>
                <w:sz w:val="22"/>
              </w:rPr>
              <w:t>Automated Code Review and Bug Detection System (AI Code Auditor)</w:t>
            </w:r>
          </w:p>
        </w:tc>
      </w:tr>
      <w:tr>
        <w:tc>
          <w:tcPr>
            <w:tcW w:type="dxa" w:w="3168"/>
            <w:tcMar>
              <w:top w:w="100" w:type="dxa"/>
              <w:bottom w:w="100" w:type="dxa"/>
              <w:left w:w="140" w:type="dxa"/>
              <w:right w:w="140" w:type="dxa"/>
            </w:tcMar>
            <w:shd w:fill="F8FAFC"/>
          </w:tcPr>
          <w:p>
            <w:pPr>
              <w:spacing w:after="0"/>
            </w:pPr>
            <w:r>
              <w:rPr>
                <w:rFonts w:ascii="Times New Roman" w:hAnsi="Times New Roman"/>
                <w:b/>
                <w:sz w:val="22"/>
              </w:rPr>
              <w:t>Sinh viên thực hiện:</w:t>
            </w:r>
          </w:p>
        </w:tc>
        <w:tc>
          <w:tcPr>
            <w:tcW w:type="dxa" w:w="6149"/>
            <w:tcMar>
              <w:top w:w="100" w:type="dxa"/>
              <w:bottom w:w="100" w:type="dxa"/>
              <w:left w:w="140" w:type="dxa"/>
              <w:right w:w="140" w:type="dxa"/>
            </w:tcMar>
          </w:tcPr>
          <w:p>
            <w:pPr>
              <w:spacing w:after="0"/>
            </w:pPr>
            <w:r>
              <w:rPr>
                <w:rFonts w:ascii="Times New Roman" w:hAnsi="Times New Roman"/>
                <w:b/>
                <w:sz w:val="22"/>
              </w:rPr>
              <w:t>Bùi Văn Khải — MSSV: 24520719</w:t>
            </w:r>
          </w:p>
        </w:tc>
      </w:tr>
      <w:tr>
        <w:tc>
          <w:tcPr>
            <w:tcW w:type="dxa" w:w="3168"/>
            <w:tcMar>
              <w:top w:w="100" w:type="dxa"/>
              <w:bottom w:w="100" w:type="dxa"/>
              <w:left w:w="140" w:type="dxa"/>
              <w:right w:w="140" w:type="dxa"/>
            </w:tcMar>
            <w:shd w:fill="F8FAFC"/>
          </w:tcPr>
          <w:p>
            <w:pPr>
              <w:spacing w:after="0"/>
            </w:pPr>
            <w:r>
              <w:rPr>
                <w:rFonts w:ascii="Times New Roman" w:hAnsi="Times New Roman"/>
                <w:b/>
                <w:sz w:val="22"/>
              </w:rPr>
              <w:t>Giảng viên hướng dẫn:</w:t>
            </w:r>
          </w:p>
        </w:tc>
        <w:tc>
          <w:tcPr>
            <w:tcW w:type="dxa" w:w="6149"/>
            <w:tcMar>
              <w:top w:w="100" w:type="dxa"/>
              <w:bottom w:w="100" w:type="dxa"/>
              <w:left w:w="140" w:type="dxa"/>
              <w:right w:w="140" w:type="dxa"/>
            </w:tcMar>
          </w:tcPr>
          <w:p>
            <w:pPr>
              <w:spacing w:after="0"/>
            </w:pPr>
            <w:r>
              <w:rPr>
                <w:rFonts w:ascii="Times New Roman" w:hAnsi="Times New Roman"/>
                <w:b/>
                <w:sz w:val="22"/>
              </w:rPr>
              <w:t>ThS. Trần Thị Hồng Yến</w:t>
            </w:r>
          </w:p>
        </w:tc>
      </w:tr>
      <w:tr>
        <w:tc>
          <w:tcPr>
            <w:tcW w:type="dxa" w:w="3168"/>
            <w:tcMar>
              <w:top w:w="100" w:type="dxa"/>
              <w:bottom w:w="100" w:type="dxa"/>
              <w:left w:w="140" w:type="dxa"/>
              <w:right w:w="140" w:type="dxa"/>
            </w:tcMar>
            <w:shd w:fill="F8FAFC"/>
          </w:tcPr>
          <w:p>
            <w:pPr>
              <w:spacing w:after="0"/>
            </w:pPr>
            <w:r>
              <w:rPr>
                <w:rFonts w:ascii="Times New Roman" w:hAnsi="Times New Roman"/>
                <w:b/>
                <w:sz w:val="22"/>
              </w:rPr>
              <w:t>Thời gian thực hiện:</w:t>
            </w:r>
          </w:p>
        </w:tc>
        <w:tc>
          <w:tcPr>
            <w:tcW w:type="dxa" w:w="6149"/>
            <w:tcMar>
              <w:top w:w="100" w:type="dxa"/>
              <w:bottom w:w="100" w:type="dxa"/>
              <w:left w:w="140" w:type="dxa"/>
              <w:right w:w="140" w:type="dxa"/>
            </w:tcMar>
          </w:tcPr>
          <w:p>
            <w:pPr>
              <w:spacing w:after="0"/>
            </w:pPr>
            <w:r>
              <w:rPr>
                <w:rFonts w:ascii="Times New Roman" w:hAnsi="Times New Roman"/>
                <w:sz w:val="22"/>
              </w:rPr>
              <w:t>07/09/2026 – 26/12/2026 (16 tuần thực hiện đề tài)</w:t>
            </w:r>
          </w:p>
        </w:tc>
      </w:tr>
      <w:tr>
        <w:tc>
          <w:tcPr>
            <w:tcW w:type="dxa" w:w="3168"/>
            <w:tcMar>
              <w:top w:w="100" w:type="dxa"/>
              <w:bottom w:w="100" w:type="dxa"/>
              <w:left w:w="140" w:type="dxa"/>
              <w:right w:w="140" w:type="dxa"/>
            </w:tcMar>
            <w:shd w:fill="F8FAFC"/>
          </w:tcPr>
          <w:p>
            <w:pPr>
              <w:spacing w:after="0"/>
            </w:pPr>
            <w:r>
              <w:rPr>
                <w:rFonts w:ascii="Times New Roman" w:hAnsi="Times New Roman"/>
                <w:b/>
                <w:sz w:val="22"/>
              </w:rPr>
              <w:t>Thời điểm lập báo cáo:</w:t>
            </w:r>
          </w:p>
        </w:tc>
        <w:tc>
          <w:tcPr>
            <w:tcW w:type="dxa" w:w="6149"/>
            <w:tcMar>
              <w:top w:w="100" w:type="dxa"/>
              <w:bottom w:w="100" w:type="dxa"/>
              <w:left w:w="140" w:type="dxa"/>
              <w:right w:w="140" w:type="dxa"/>
            </w:tcMar>
          </w:tcPr>
          <w:p>
            <w:pPr>
              <w:spacing w:after="0"/>
            </w:pPr>
            <w:r>
              <w:rPr>
                <w:rFonts w:ascii="Times New Roman" w:hAnsi="Times New Roman"/>
                <w:sz w:val="22"/>
              </w:rPr>
              <w:t>Ngày 25 tháng 09 năm 2026</w:t>
            </w:r>
          </w:p>
        </w:tc>
      </w:tr>
    </w:tbl>
    <w:p>
      <w:pPr>
        <w:spacing w:after="200"/>
      </w:pPr>
    </w:p>
    <w:p>
      <w:pPr>
        <w:keepNext/>
        <w:spacing w:before="280" w:after="120"/>
      </w:pPr>
      <w:r>
        <w:rPr>
          <w:rFonts w:ascii="Times New Roman" w:hAnsi="Times New Roman"/>
          <w:b/>
          <w:color w:val="183C6C"/>
          <w:sz w:val="28"/>
        </w:rPr>
        <w:t>1. Mục tiêu giai đoạn Tuần 1–2</w:t>
      </w:r>
    </w:p>
    <w:p>
      <w:pPr>
        <w:spacing w:after="80" w:line="288" w:lineRule="auto"/>
        <w:jc w:val="both"/>
      </w:pPr>
      <w:r>
        <w:rPr>
          <w:rFonts w:ascii="Times New Roman" w:hAnsi="Times New Roman"/>
        </w:rPr>
        <w:t>Giai đoạn Tuần 1–2 (từ 07/09/2026 đến 20/09/2026) là giai đoạn nền tảng của khóa luận tốt nghiệp, tập trung vào công tác nghiên cứu tiền đề, xác lập phạm vi khoa học, rà soát các công cụ liên quan và xây dựng khung phương pháp luận. Các mục tiêu cụ thể đã được đề ra và bám sát bao gồm:</w:t>
      </w:r>
    </w:p>
    <w:p>
      <w:pPr>
        <w:pStyle w:val="ListBullet"/>
        <w:spacing w:after="60" w:line="276" w:lineRule="auto"/>
        <w:jc w:val="both"/>
      </w:pPr>
      <w:r>
        <w:rPr>
          <w:rFonts w:ascii="Times New Roman" w:hAnsi="Times New Roman"/>
          <w:b/>
        </w:rPr>
        <w:t xml:space="preserve">1. Xác định phạm vi đề tài: </w:t>
      </w:r>
      <w:r>
        <w:rPr>
          <w:rFonts w:ascii="Times New Roman" w:hAnsi="Times New Roman"/>
        </w:rPr>
        <w:t>Khảo sát và xác lập bài toán cốt lõi của khóa luận: tự động hóa quy trình review mã nguồn và phát hiện lỗi trên các Git Pull Request (PR) liên tệp.</w:t>
      </w:r>
    </w:p>
    <w:p>
      <w:pPr>
        <w:pStyle w:val="ListBullet"/>
        <w:spacing w:after="60" w:line="276" w:lineRule="auto"/>
        <w:jc w:val="both"/>
      </w:pPr>
      <w:r>
        <w:rPr>
          <w:rFonts w:ascii="Times New Roman" w:hAnsi="Times New Roman"/>
          <w:b/>
        </w:rPr>
        <w:t xml:space="preserve">2. Định hướng đóng góp cốt lõi: </w:t>
      </w:r>
      <w:r>
        <w:rPr>
          <w:rFonts w:ascii="Times New Roman" w:hAnsi="Times New Roman"/>
        </w:rPr>
        <w:t>Thống nhất và làm rõ ba trụ cột đóng góp khoa học chính với Giảng viên hướng dẫn: Hybrid Audit, Repo-level Context và Quantitative Evaluation.</w:t>
      </w:r>
    </w:p>
    <w:p>
      <w:pPr>
        <w:pStyle w:val="ListBullet"/>
        <w:spacing w:after="60" w:line="276" w:lineRule="auto"/>
        <w:jc w:val="both"/>
      </w:pPr>
      <w:r>
        <w:rPr>
          <w:rFonts w:ascii="Times New Roman" w:hAnsi="Times New Roman"/>
          <w:b/>
        </w:rPr>
        <w:t xml:space="preserve">3. Khảo sát công cụ nền tảng: </w:t>
      </w:r>
      <w:r>
        <w:rPr>
          <w:rFonts w:ascii="Times New Roman" w:hAnsi="Times New Roman"/>
        </w:rPr>
        <w:t>Khảo sát công cụ phân tích tĩnh xác định (Ruff, Semgrep CE) và cơ chế tích hợp CI/CD qua GitHub Actions (gói nghiên cứu R1).</w:t>
      </w:r>
    </w:p>
    <w:p>
      <w:pPr>
        <w:pStyle w:val="ListBullet"/>
        <w:spacing w:after="60" w:line="276" w:lineRule="auto"/>
        <w:jc w:val="both"/>
      </w:pPr>
      <w:r>
        <w:rPr>
          <w:rFonts w:ascii="Times New Roman" w:hAnsi="Times New Roman"/>
          <w:b/>
        </w:rPr>
        <w:t xml:space="preserve">4. Nghiên cứu ngữ cảnh cấp kho: </w:t>
      </w:r>
      <w:r>
        <w:rPr>
          <w:rFonts w:ascii="Times New Roman" w:hAnsi="Times New Roman"/>
        </w:rPr>
        <w:t>Khảo sát các kỹ thuật trích xuất ngữ cảnh liên tệp cấp kho mã nguồn (Code Graph, AST, Repo RAG) phục vụ tăng cường ngữ cảnh cho LLM (gói nghiên cứu R2).</w:t>
      </w:r>
    </w:p>
    <w:p>
      <w:pPr>
        <w:pStyle w:val="ListBullet"/>
        <w:spacing w:after="60" w:line="276" w:lineRule="auto"/>
        <w:jc w:val="both"/>
      </w:pPr>
      <w:r>
        <w:rPr>
          <w:rFonts w:ascii="Times New Roman" w:hAnsi="Times New Roman"/>
          <w:b/>
        </w:rPr>
        <w:t xml:space="preserve">5. Nghiên cứu phân loại CWE: </w:t>
      </w:r>
      <w:r>
        <w:rPr>
          <w:rFonts w:ascii="Times New Roman" w:hAnsi="Times New Roman"/>
        </w:rPr>
        <w:t>Nghiên cứu phân loại lỗi và rà soát cơ sở dữ liệu MITRE CWE / OWASP cho 6 nhóm lỗi mục tiêu (gói nghiên cứu R3).</w:t>
      </w:r>
    </w:p>
    <w:p>
      <w:pPr>
        <w:pStyle w:val="ListBullet"/>
        <w:spacing w:after="60" w:line="276" w:lineRule="auto"/>
        <w:jc w:val="both"/>
      </w:pPr>
      <w:r>
        <w:rPr>
          <w:rFonts w:ascii="Times New Roman" w:hAnsi="Times New Roman"/>
          <w:b/>
        </w:rPr>
        <w:t xml:space="preserve">6. Đặc tả yêu cầu hệ thống: </w:t>
      </w:r>
      <w:r>
        <w:rPr>
          <w:rFonts w:ascii="Times New Roman" w:hAnsi="Times New Roman"/>
        </w:rPr>
        <w:t>Xây dựng bản dự thảo Đặc tả Yêu cầu Kỹ thuật hoàn chỉnh (FR-01 đến FR-09, NFR-01 đến NFR-06) theo cấu trúc kiểm thử được.</w:t>
      </w:r>
    </w:p>
    <w:p>
      <w:pPr>
        <w:pStyle w:val="ListBullet"/>
        <w:spacing w:after="60" w:line="276" w:lineRule="auto"/>
        <w:jc w:val="both"/>
      </w:pPr>
      <w:r>
        <w:rPr>
          <w:rFonts w:ascii="Times New Roman" w:hAnsi="Times New Roman"/>
          <w:b/>
        </w:rPr>
        <w:t xml:space="preserve">7. Thiết kế benchmark chuẩn: </w:t>
      </w:r>
      <w:r>
        <w:rPr>
          <w:rFonts w:ascii="Times New Roman" w:hAnsi="Times New Roman"/>
        </w:rPr>
        <w:t>Thiết kế sơ bộ bộ dữ liệu đánh giá chuẩn (Benchmark Dataset Design) với lược đồ 16 trường siêu dữ liệu, phân hoạch 30/70 Dev/Test và quy tắc kiểm chứng Ground Truth nghiêm ngặt.</w:t>
      </w:r>
    </w:p>
    <w:p>
      <w:pPr>
        <w:pStyle w:val="ListBullet"/>
        <w:spacing w:after="60" w:line="276" w:lineRule="auto"/>
        <w:jc w:val="both"/>
      </w:pPr>
      <w:r>
        <w:rPr>
          <w:rFonts w:ascii="Times New Roman" w:hAnsi="Times New Roman"/>
          <w:b/>
        </w:rPr>
        <w:t xml:space="preserve">8. Phương pháp luận đo lường: </w:t>
      </w:r>
      <w:r>
        <w:rPr>
          <w:rFonts w:ascii="Times New Roman" w:hAnsi="Times New Roman"/>
        </w:rPr>
        <w:t>Xác lập công thức tính toán các chỉ số đo lường học thuật (Precision, Recall, F1, FPR, độ trễ P95, chi phí token).</w:t>
      </w:r>
    </w:p>
    <w:p>
      <w:pPr>
        <w:pStyle w:val="ListBullet"/>
        <w:spacing w:after="60" w:line="276" w:lineRule="auto"/>
        <w:jc w:val="both"/>
      </w:pPr>
      <w:r>
        <w:rPr>
          <w:rFonts w:ascii="Times New Roman" w:hAnsi="Times New Roman"/>
          <w:b/>
        </w:rPr>
        <w:t xml:space="preserve">9. Truy vết &amp; xin ý kiến GVHD: </w:t>
      </w:r>
      <w:r>
        <w:rPr>
          <w:rFonts w:ascii="Times New Roman" w:hAnsi="Times New Roman"/>
        </w:rPr>
        <w:t>Tổng hợp có hệ thống các quyết định phương pháp luận làm việc của sinh viên và các vấn đề còn mở cần xin ý kiến định hướng từ Giảng viên hướng dẫn.</w:t>
      </w:r>
    </w:p>
    <w:p>
      <w:pPr>
        <w:keepNext/>
        <w:spacing w:before="280" w:after="120"/>
      </w:pPr>
      <w:r>
        <w:rPr>
          <w:rFonts w:ascii="Times New Roman" w:hAnsi="Times New Roman"/>
          <w:b/>
          <w:color w:val="183C6C"/>
          <w:sz w:val="28"/>
        </w:rPr>
        <w:t>2. Bảng tổng hợp công việc đã thực hiện</w:t>
      </w:r>
    </w:p>
    <w:p>
      <w:pPr>
        <w:spacing w:after="80" w:line="288" w:lineRule="auto"/>
        <w:jc w:val="both"/>
      </w:pPr>
      <w:r>
        <w:rPr>
          <w:rFonts w:ascii="Times New Roman" w:hAnsi="Times New Roman"/>
        </w:rPr>
        <w:t>Dưới đây là bảng tổng hợp các nội dung công việc thực tế đã được triển khai và hoàn thành trong giai đoạn Tuần 1–2:</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29"/>
        <w:gridCol w:w="2329"/>
        <w:gridCol w:w="2329"/>
        <w:gridCol w:w="2329"/>
      </w:tblGrid>
      <w:tr>
        <w:tc>
          <w:tcPr>
            <w:tcW w:type="dxa" w:w="864"/>
            <w:shd w:fill="EBF1F5"/>
            <w:tcMar>
              <w:top w:w="120" w:type="dxa"/>
              <w:bottom w:w="120" w:type="dxa"/>
              <w:left w:w="100" w:type="dxa"/>
              <w:right w:w="100" w:type="dxa"/>
            </w:tcMar>
          </w:tcPr>
          <w:p>
            <w:pPr>
              <w:jc w:val="center"/>
            </w:pPr>
            <w:r>
              <w:rPr>
                <w:rFonts w:ascii="Times New Roman" w:hAnsi="Times New Roman"/>
                <w:b/>
                <w:color w:val="183C6C"/>
                <w:sz w:val="22"/>
              </w:rPr>
              <w:t>STT</w:t>
            </w:r>
          </w:p>
        </w:tc>
        <w:tc>
          <w:tcPr>
            <w:tcW w:type="dxa" w:w="3168"/>
            <w:shd w:fill="EBF1F5"/>
            <w:tcMar>
              <w:top w:w="120" w:type="dxa"/>
              <w:bottom w:w="120" w:type="dxa"/>
              <w:left w:w="100" w:type="dxa"/>
              <w:right w:w="100" w:type="dxa"/>
            </w:tcMar>
          </w:tcPr>
          <w:p>
            <w:pPr>
              <w:jc w:val="center"/>
            </w:pPr>
            <w:r>
              <w:rPr>
                <w:rFonts w:ascii="Times New Roman" w:hAnsi="Times New Roman"/>
                <w:b/>
                <w:color w:val="183C6C"/>
                <w:sz w:val="22"/>
              </w:rPr>
              <w:t>Nội dung công việc</w:t>
            </w:r>
          </w:p>
        </w:tc>
        <w:tc>
          <w:tcPr>
            <w:tcW w:type="dxa" w:w="4133"/>
            <w:shd w:fill="EBF1F5"/>
            <w:tcMar>
              <w:top w:w="120" w:type="dxa"/>
              <w:bottom w:w="120" w:type="dxa"/>
              <w:left w:w="100" w:type="dxa"/>
              <w:right w:w="100" w:type="dxa"/>
            </w:tcMar>
          </w:tcPr>
          <w:p>
            <w:pPr>
              <w:jc w:val="center"/>
            </w:pPr>
            <w:r>
              <w:rPr>
                <w:rFonts w:ascii="Times New Roman" w:hAnsi="Times New Roman"/>
                <w:b/>
                <w:color w:val="183C6C"/>
                <w:sz w:val="22"/>
              </w:rPr>
              <w:t>Kết quả / Sản phẩm đạt được</w:t>
            </w:r>
          </w:p>
        </w:tc>
        <w:tc>
          <w:tcPr>
            <w:tcW w:type="dxa" w:w="1584"/>
            <w:shd w:fill="EBF1F5"/>
            <w:tcMar>
              <w:top w:w="120" w:type="dxa"/>
              <w:bottom w:w="120" w:type="dxa"/>
              <w:left w:w="100" w:type="dxa"/>
              <w:right w:w="100" w:type="dxa"/>
            </w:tcMar>
          </w:tcPr>
          <w:p>
            <w:pPr>
              <w:jc w:val="center"/>
            </w:pPr>
            <w:r>
              <w:rPr>
                <w:rFonts w:ascii="Times New Roman" w:hAnsi="Times New Roman"/>
                <w:b/>
                <w:color w:val="183C6C"/>
                <w:sz w:val="22"/>
              </w:rPr>
              <w:t>Trạng thái</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1</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Thiết lập hạ tầng và chuỗi công cụ hỗ trợ nghiên cứu</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Khởi tạo môi trường uv, Python 3.12, GitHub Spec Kit CLI, công cụ nghiên cứu tự động GPT Researcher được cô lập trong thư mục riêng; cấu hình Docker Desktop, WSL 2 và Git.</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2</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Khảo sát công cụ phân tích tĩnh &amp; CI/CD (Gói R1)</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Hoàn thành tài liệu nghiên cứu R1_ruff_vs_semgrep.md đối chiếu Ruff, Semgrep CE và tích hợp GitHub Actions CI/CD; kiểm toán toàn diện tính xác thực của tài liệu trích dẫn.</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&amp; Đã thẩm định</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3</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Khảo sát kỹ thuật trích xuất ngữ cảnh toàn kho (Gói R2)</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Hoàn thành tài liệu R2_repo_context_rag.md khảo sát AST, Code Graph, tìm kiếm vector và phân đoạn ngữ cảnh có định hướng PR; kiểm toán và đính chính các sai lệch siêu dữ liệu trích dẫn.</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&amp; Đã đính chính</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4</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Nghiên cứu phân loại lỗi &amp; chuẩn hóa CWE (Gói R3)</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Hoàn thành tài liệu CWE_taxonomy.md tổng hợp bằng chứng từ MITRE CWE, NIST SP 800-53 và OWASP cho 6 nhóm lỗi mục tiêu, phân định rõ ranh giới các Base-level CWE.</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dự thảo nghiên cứu</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5</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Soạn thảo Đặc tả Yêu cầu Chức năng &amp; Phi Chức năng</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Hoàn thành functional_nonfunctional_requirements.md gồm 9 yêu cầu chức năng (FR-01 đến FR-09) và 6 yêu cầu phi chức năng (NFR-01 đến NFR-06) kèm tiêu chí nghiệm thu rõ ràng.</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bản dự thảo</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6</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Thiết kế bộ dữ liệu đánh giá chuẩn (Benchmark Dataset)</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Hoàn thành dataset_design_test_case_list.md quy định lược đồ 16 trường metadata, quy tắc chuỗi bằng chứng Ground Truth, phân hoạch 30/70 Dev/Test và kế hoạch phân bổ ca kiểm thử.</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bản dự thảo</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7</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Kiểm toán tính nhất quán và truy vết tài liệu</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Thực hiện Session 11 kiểm toán đối soát: viết lại FR-05 thành yêu cầu năng lực thay vì áp đặt kiến trúc sớm, loại bỏ hạn ngạch dữ liệu tổng hợp cứng và băm SHA-256 không có trong đề cương.</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8</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Đồng bộ hóa tài liệu với xác nhận của GVHD</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Cập nhật manifesto.md phản ánh chính xác email xác nhận của Cô: 3 trụ cột đóng góp, phạm vi Core MVP trên Git PR, hướng mở rộng AI Guardrail và ranh giới sử dụng API LLM có sẵn.</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w:t>
            </w:r>
          </w:p>
        </w:tc>
      </w:tr>
      <w:tr>
        <w:tc>
          <w:tcPr>
            <w:tcW w:type="dxa" w:w="864"/>
            <w:tcMar>
              <w:top w:w="100" w:type="dxa"/>
              <w:bottom w:w="100" w:type="dxa"/>
              <w:left w:w="100" w:type="dxa"/>
              <w:right w:w="100" w:type="dxa"/>
            </w:tcMar>
          </w:tcPr>
          <w:p>
            <w:pPr>
              <w:spacing w:after="0" w:line="276" w:lineRule="auto"/>
              <w:jc w:val="center"/>
            </w:pPr>
            <w:r>
              <w:rPr>
                <w:rFonts w:ascii="Times New Roman" w:hAnsi="Times New Roman"/>
                <w:sz w:val="21"/>
              </w:rPr>
              <w:t>9</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1"/>
              </w:rPr>
              <w:t>Chuẩn hóa các quyết định phương pháp của sinh viên</w:t>
            </w:r>
          </w:p>
        </w:tc>
        <w:tc>
          <w:tcPr>
            <w:tcW w:type="dxa" w:w="4133"/>
            <w:tcMar>
              <w:top w:w="100" w:type="dxa"/>
              <w:bottom w:w="100" w:type="dxa"/>
              <w:left w:w="100" w:type="dxa"/>
              <w:right w:w="100" w:type="dxa"/>
            </w:tcMar>
          </w:tcPr>
          <w:p>
            <w:pPr>
              <w:spacing w:after="0" w:line="276" w:lineRule="auto"/>
              <w:jc w:val="left"/>
            </w:pPr>
            <w:r>
              <w:rPr>
                <w:rFonts w:ascii="Times New Roman" w:hAnsi="Times New Roman"/>
                <w:sz w:val="21"/>
              </w:rPr>
              <w:t>Ghi nhận Session 14: khóa 6 nhóm lỗi ban đầu, bổ sung thuộc tính impact cho Nhóm 1, ngưỡng sàn 100 ca, quy tắc khớp Ground Truth (dung sai ±10 dòng đề xuất), làm rõ Precision/Recall là mục tiêu nghiên cứu.</w:t>
            </w:r>
          </w:p>
        </w:tc>
        <w:tc>
          <w:tcPr>
            <w:tcW w:type="dxa" w:w="1584"/>
            <w:tcMar>
              <w:top w:w="100" w:type="dxa"/>
              <w:bottom w:w="100" w:type="dxa"/>
              <w:left w:w="100" w:type="dxa"/>
              <w:right w:w="100" w:type="dxa"/>
            </w:tcMar>
          </w:tcPr>
          <w:p>
            <w:pPr>
              <w:spacing w:after="0" w:line="276" w:lineRule="auto"/>
              <w:jc w:val="center"/>
            </w:pPr>
            <w:r>
              <w:rPr>
                <w:rFonts w:ascii="Times New Roman" w:hAnsi="Times New Roman"/>
                <w:b/>
                <w:color w:val="22703E"/>
                <w:sz w:val="21"/>
              </w:rPr>
              <w:t>Hoàn thành ghi nhận</w:t>
            </w:r>
          </w:p>
        </w:tc>
      </w:tr>
    </w:tbl>
    <w:p>
      <w:pPr>
        <w:spacing w:after="160"/>
      </w:pPr>
    </w:p>
    <w:p>
      <w:pPr>
        <w:keepNext/>
        <w:spacing w:before="280" w:after="120"/>
      </w:pPr>
      <w:r>
        <w:rPr>
          <w:rFonts w:ascii="Times New Roman" w:hAnsi="Times New Roman"/>
          <w:b/>
          <w:color w:val="183C6C"/>
          <w:sz w:val="28"/>
        </w:rPr>
        <w:t>3. Tóm tắt kết quả nghiên cứu tiền đề chính</w:t>
      </w:r>
    </w:p>
    <w:p>
      <w:pPr>
        <w:keepNext/>
        <w:spacing w:before="200" w:after="80"/>
      </w:pPr>
      <w:r>
        <w:rPr>
          <w:rFonts w:ascii="Times New Roman" w:hAnsi="Times New Roman"/>
          <w:b/>
          <w:color w:val="296299"/>
          <w:sz w:val="25"/>
        </w:rPr>
        <w:t>3.1 Gói nghiên cứu R1 — Phân tích tĩnh xác định &amp; Tích hợp quy trình CI/CD</w:t>
      </w:r>
    </w:p>
    <w:p>
      <w:pPr>
        <w:spacing w:after="80" w:line="288" w:lineRule="auto"/>
        <w:jc w:val="both"/>
      </w:pPr>
      <w:r>
        <w:rPr>
          <w:rFonts w:ascii="Times New Roman" w:hAnsi="Times New Roman"/>
        </w:rPr>
        <w:t>Nghiên cứu gói R1 (chi tiết tại tệp Project Documents/research/R1_ruff_vs_semgrep.md) đã phân tích năng lực và ranh giới kỹ thuật của hai công cụ phân tích tĩnh tiêu biểu đối với mã nguồn Python:</w:t>
      </w:r>
    </w:p>
    <w:p>
      <w:pPr>
        <w:pStyle w:val="ListBullet"/>
        <w:spacing w:after="60" w:line="276" w:lineRule="auto"/>
        <w:jc w:val="both"/>
      </w:pPr>
      <w:r>
        <w:rPr>
          <w:rFonts w:ascii="Times New Roman" w:hAnsi="Times New Roman"/>
          <w:b/>
        </w:rPr>
        <w:t xml:space="preserve">Ruff: </w:t>
      </w:r>
      <w:r>
        <w:rPr>
          <w:rFonts w:ascii="Times New Roman" w:hAnsi="Times New Roman"/>
        </w:rPr>
        <w:t>Là linter được viết bằng ngôn ngữ Rust với tốc độ thực thi vượt trội (nhanh gấp từ 10 đến 100 lần so với các linter truyền thống). Ruff thực hiện phân tích cú pháp AST, kiểm tra tuân thủ chuẩn mã nguồn (PEP 8), phát hiện biến không sử dụng, lỗi cấu trúc cơ bản và hỗ trợ tập luật Flake8-Bandit. Ruff hoạt động với độ trễ cực thấp (vài chục mili-giây), phù hợp làm bộ lọc tầng đầu tiên trong quy trình review.</w:t>
      </w:r>
    </w:p>
    <w:p>
      <w:pPr>
        <w:pStyle w:val="ListBullet"/>
        <w:spacing w:after="60" w:line="276" w:lineRule="auto"/>
        <w:jc w:val="both"/>
      </w:pPr>
      <w:r>
        <w:rPr>
          <w:rFonts w:ascii="Times New Roman" w:hAnsi="Times New Roman"/>
          <w:b/>
        </w:rPr>
        <w:t xml:space="preserve">Semgrep Community Edition: </w:t>
      </w:r>
      <w:r>
        <w:rPr>
          <w:rFonts w:ascii="Times New Roman" w:hAnsi="Times New Roman"/>
        </w:rPr>
        <w:t>Bản Community Edition (mã nguồn mở) cung cấp cơ chế so khớp mẫu cú pháp trừu tượng AST và hỗ trợ theo vết luồng dữ liệu biến bẩn (taint tracking) trong phạm vi hàm hoặc tệp (intra-file taint mode). Semgrep cho phép viết các luật phát hiện lỗ hổng bảo mật linh hoạt dựa trên cú pháp gần gũi với mã nguồn thực tế. Tuy nhiên, bản mã nguồn mở bị giới hạn: hoàn toàn không hỗ trợ phân tích luồng liên tệp (inter-file analysis) — vốn là tính năng độc quyền của bản thương mại Pro/Enterprise.</w:t>
      </w:r>
    </w:p>
    <w:p>
      <w:pPr>
        <w:pStyle w:val="ListBullet"/>
        <w:spacing w:after="60" w:line="276" w:lineRule="auto"/>
        <w:jc w:val="both"/>
      </w:pPr>
      <w:r>
        <w:rPr>
          <w:rFonts w:ascii="Times New Roman" w:hAnsi="Times New Roman"/>
          <w:b/>
        </w:rPr>
        <w:t xml:space="preserve">Vai trò bổ trợ của phân tích tĩnh: </w:t>
      </w:r>
      <w:r>
        <w:rPr>
          <w:rFonts w:ascii="Times New Roman" w:hAnsi="Times New Roman"/>
        </w:rPr>
        <w:t>Phân tích tĩnh đóng vai trò là lớp phân tích xác định (deterministic layer) — nhanh chóng, không phát sinh chi phí token và không có tính ngẫu nhiên (non-stochastic). Lớp này xử lý triệt để các lỗi cú pháp, vi phạm quy ước và lỗ hổng nội tệp đã có mẫu rõ ràng, giúp thanh lọc diff trước khi chuyển sang lớp LLM suy luận ngữ nghĩa.</w:t>
      </w:r>
    </w:p>
    <w:p>
      <w:pPr>
        <w:pStyle w:val="ListBullet"/>
        <w:spacing w:after="60" w:line="276" w:lineRule="auto"/>
        <w:jc w:val="both"/>
      </w:pPr>
      <w:r>
        <w:rPr>
          <w:rFonts w:ascii="Times New Roman" w:hAnsi="Times New Roman"/>
          <w:b/>
        </w:rPr>
        <w:t xml:space="preserve">Tích hợp GitHub Actions CI/CD: </w:t>
      </w:r>
      <w:r>
        <w:rPr>
          <w:rFonts w:ascii="Times New Roman" w:hAnsi="Times New Roman"/>
        </w:rPr>
        <w:t>Đã khảo sát chi tiết quy trình kích hoạt workflow khi có sự kiện pull_request (opened, synchronize); kỹ thuật lấy lịch sử git (fetch-depth: 0) để so sánh diff chuẩn xác giữa nhánh base và head; cơ chế xuất cảnh báo dòng trực tiếp (inline PR review comments) qua GitHub REST API; và khả năng xuất báo cáo SARIF tích hợp vào GitHub Code Scanning.</w:t>
      </w:r>
    </w:p>
    <w:p>
      <w:pPr>
        <w:spacing w:after="80" w:line="288" w:lineRule="auto"/>
        <w:jc w:val="both"/>
      </w:pPr>
      <w:r>
        <w:rPr>
          <w:rFonts w:ascii="Times New Roman" w:hAnsi="Times New Roman"/>
          <w:i/>
        </w:rPr>
        <w:t xml:space="preserve">Ghi nhận trạng thái: </w:t>
      </w:r>
      <w:r>
        <w:rPr>
          <w:rFonts w:ascii="Times New Roman" w:hAnsi="Times New Roman"/>
        </w:rPr>
        <w:t>Trạng thái gói R1: Đã được kiểm toán tính xác thực của toàn bộ tài liệu tham khảo và chính thức khép lại.</w:t>
      </w:r>
    </w:p>
    <w:p>
      <w:pPr>
        <w:keepNext/>
        <w:spacing w:before="200" w:after="80"/>
      </w:pPr>
      <w:r>
        <w:rPr>
          <w:rFonts w:ascii="Times New Roman" w:hAnsi="Times New Roman"/>
          <w:b/>
          <w:color w:val="296299"/>
          <w:sz w:val="25"/>
        </w:rPr>
        <w:t>3.2 Gói nghiên cứu R2 — Trích xuất ngữ cảnh cấp kho mã nguồn &amp; Repo RAG</w:t>
      </w:r>
    </w:p>
    <w:p>
      <w:pPr>
        <w:spacing w:after="80" w:line="288" w:lineRule="auto"/>
        <w:jc w:val="both"/>
      </w:pPr>
      <w:r>
        <w:rPr>
          <w:rFonts w:ascii="Times New Roman" w:hAnsi="Times New Roman"/>
        </w:rPr>
        <w:t>Nghiên cứu gói R2 (chi tiết tại Project Documents/research/R2_repo_context_rag.md) tập trung giải quyết bài toán cốt lõi: làm thế nào để cung cấp ngữ cảnh toàn kho cho LLM hiểu được các thay đổi liên tệp trong PR mà không làm tràn cửa sổ ngữ cảnh (token limit) hoặc gây nhiễu suy luận:</w:t>
      </w:r>
    </w:p>
    <w:p>
      <w:pPr>
        <w:pStyle w:val="ListBullet"/>
        <w:spacing w:after="60" w:line="276" w:lineRule="auto"/>
        <w:jc w:val="both"/>
      </w:pPr>
      <w:r>
        <w:rPr>
          <w:rFonts w:ascii="Times New Roman" w:hAnsi="Times New Roman"/>
          <w:b/>
        </w:rPr>
        <w:t xml:space="preserve">Trích xuất biểu tượng và cây AST: </w:t>
      </w:r>
      <w:r>
        <w:rPr>
          <w:rFonts w:ascii="Times New Roman" w:hAnsi="Times New Roman"/>
        </w:rPr>
        <w:t>Phân tích các tệp thay đổi trong PR để trích xuất danh sách các hàm, lớp, phương thức, lời gọi hàm và câu lệnh import bị ảnh hưởng.</w:t>
      </w:r>
    </w:p>
    <w:p>
      <w:pPr>
        <w:pStyle w:val="ListBullet"/>
        <w:spacing w:after="60" w:line="276" w:lineRule="auto"/>
        <w:jc w:val="both"/>
      </w:pPr>
      <w:r>
        <w:rPr>
          <w:rFonts w:ascii="Times New Roman" w:hAnsi="Times New Roman"/>
          <w:b/>
        </w:rPr>
        <w:t xml:space="preserve">Đồ thị cấu trúc mã nguồn (Code Graph): </w:t>
      </w:r>
      <w:r>
        <w:rPr>
          <w:rFonts w:ascii="Times New Roman" w:hAnsi="Times New Roman"/>
        </w:rPr>
        <w:t>Thiết lập đồ thị phụ thuộc (call graph / dependency graph) trong phạm vi lân cận (1-hop hoặc 2-hop) xung quanh các đoạn mã bị sửa đổi. Kỹ thuật này cho phép trích xuất đúng định nghĩa của hàm được gọi ở tệp khác, hoặc các hàm gọi đến hàm bị thay đổi, giúp LLM phát hiện lỗi phá vỡ giao diện (interface break) hoặc thiếu kiểm tra phân quyền ở caller.</w:t>
      </w:r>
    </w:p>
    <w:p>
      <w:pPr>
        <w:pStyle w:val="ListBullet"/>
        <w:spacing w:after="60" w:line="276" w:lineRule="auto"/>
        <w:jc w:val="both"/>
      </w:pPr>
      <w:r>
        <w:rPr>
          <w:rFonts w:ascii="Times New Roman" w:hAnsi="Times New Roman"/>
          <w:b/>
        </w:rPr>
        <w:t xml:space="preserve">Tìm kiếm ngữ nghĩa (Dense Semantic Retrieval): </w:t>
      </w:r>
      <w:r>
        <w:rPr>
          <w:rFonts w:ascii="Times New Roman" w:hAnsi="Times New Roman"/>
        </w:rPr>
        <w:t>Biểu diễn các đoạn mã và tài liệu thiết kế thành vector nhúng ngữ nghĩa (dense embeddings) và lưu trữ trong cơ sở dữ liệu PostgreSQL mở rộng pgvector, hỗ trợ tìm kiếm các đoạn mã có liên quan về mặt nghiệp vụ.</w:t>
      </w:r>
    </w:p>
    <w:p>
      <w:pPr>
        <w:pStyle w:val="ListBullet"/>
        <w:spacing w:after="60" w:line="276" w:lineRule="auto"/>
        <w:jc w:val="both"/>
      </w:pPr>
      <w:r>
        <w:rPr>
          <w:rFonts w:ascii="Times New Roman" w:hAnsi="Times New Roman"/>
          <w:b/>
        </w:rPr>
        <w:t xml:space="preserve">Thu hẹp ngữ cảnh có định hướng PR (PR-guided Slicing): </w:t>
      </w:r>
      <w:r>
        <w:rPr>
          <w:rFonts w:ascii="Times New Roman" w:hAnsi="Times New Roman"/>
        </w:rPr>
        <w:t>Áp dụng nguyên tắc cắt lát ngữ cảnh (context slicing) có ngân sách token nghiêm ngặt, ưu tiên mã nguồn định nghĩa trực tiếp trên đồ thị gọi hàm trước khi bổ sung kết quả tìm kiếm ngữ nghĩa.</w:t>
      </w:r>
    </w:p>
    <w:p>
      <w:pPr>
        <w:spacing w:after="80" w:line="288" w:lineRule="auto"/>
        <w:jc w:val="both"/>
      </w:pPr>
      <w:r>
        <w:rPr>
          <w:rFonts w:ascii="Times New Roman" w:hAnsi="Times New Roman"/>
          <w:i/>
        </w:rPr>
        <w:t xml:space="preserve">Kỷ luật học thuật: </w:t>
      </w:r>
      <w:r>
        <w:rPr>
          <w:rFonts w:ascii="Times New Roman" w:hAnsi="Times New Roman"/>
        </w:rPr>
        <w:t>Lưu ý kiểm toán trích dẫn học thuật: Quá trình thẩm tra độc lập đã phát hiện công cụ nghiên cứu tự động sinh ra một số siêu dữ liệu trích dẫn chưa chuẩn xác (tên tác giả, URL, mã số arXiv). Sinh viên đã tiến hành kiểm tra chéo từng tài liệu đối chiếu với nguồn gốc bài báo chính thức và đính chính toàn bộ trong tài liệu R2. R2 được định vị là tài liệu tổng quan khảo sát định hướng, không đại diện cho kết quả đo đạc thực nghiệm của hệ thống.</w:t>
      </w:r>
    </w:p>
    <w:p>
      <w:pPr>
        <w:keepNext/>
        <w:spacing w:before="200" w:after="80"/>
      </w:pPr>
      <w:r>
        <w:rPr>
          <w:rFonts w:ascii="Times New Roman" w:hAnsi="Times New Roman"/>
          <w:b/>
          <w:color w:val="296299"/>
          <w:sz w:val="25"/>
        </w:rPr>
        <w:t>3.3 Gói nghiên cứu R3 — Phân loại lỗi &amp; Ánh xạ chuẩn MITRE CWE</w:t>
      </w:r>
    </w:p>
    <w:p>
      <w:pPr>
        <w:spacing w:after="80" w:line="288" w:lineRule="auto"/>
        <w:jc w:val="both"/>
      </w:pPr>
      <w:r>
        <w:rPr>
          <w:rFonts w:ascii="Times New Roman" w:hAnsi="Times New Roman"/>
        </w:rPr>
        <w:t>Nghiên cứu gói R3 (chi tiết tại Project Documents/research/CWE_taxonomy.md) đã đối chiếu 6 nhóm lỗi mục tiêu với hệ thống phân loại điểm yếu bảo mật MITRE CWE, tiêu chuẩn NIST SP 800-53 và OWASP Top 10 / API Top 10: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29"/>
        <w:gridCol w:w="2329"/>
        <w:gridCol w:w="2329"/>
        <w:gridCol w:w="2329"/>
      </w:tblGrid>
      <w:tr>
        <w:tc>
          <w:tcPr>
            <w:tcW w:type="dxa" w:w="720"/>
            <w:shd w:fill="EBF1F5"/>
            <w:tcMar>
              <w:top w:w="120" w:type="dxa"/>
              <w:bottom w:w="120" w:type="dxa"/>
              <w:left w:w="100" w:type="dxa"/>
              <w:right w:w="100" w:type="dxa"/>
            </w:tcMar>
          </w:tcPr>
          <w:p>
            <w:pPr>
              <w:jc w:val="center"/>
            </w:pPr>
            <w:r>
              <w:rPr>
                <w:rFonts w:ascii="Times New Roman" w:hAnsi="Times New Roman"/>
                <w:b/>
                <w:color w:val="183C6C"/>
                <w:sz w:val="22"/>
              </w:rPr>
              <w:t>ID</w:t>
            </w:r>
          </w:p>
        </w:tc>
        <w:tc>
          <w:tcPr>
            <w:tcW w:type="dxa" w:w="3168"/>
            <w:shd w:fill="EBF1F5"/>
            <w:tcMar>
              <w:top w:w="120" w:type="dxa"/>
              <w:bottom w:w="120" w:type="dxa"/>
              <w:left w:w="100" w:type="dxa"/>
              <w:right w:w="100" w:type="dxa"/>
            </w:tcMar>
          </w:tcPr>
          <w:p>
            <w:pPr>
              <w:jc w:val="center"/>
            </w:pPr>
            <w:r>
              <w:rPr>
                <w:rFonts w:ascii="Times New Roman" w:hAnsi="Times New Roman"/>
                <w:b/>
                <w:color w:val="183C6C"/>
                <w:sz w:val="22"/>
              </w:rPr>
              <w:t>Nhóm lỗi mục tiêu (Working Category)</w:t>
            </w:r>
          </w:p>
        </w:tc>
        <w:tc>
          <w:tcPr>
            <w:tcW w:type="dxa" w:w="3312"/>
            <w:shd w:fill="EBF1F5"/>
            <w:tcMar>
              <w:top w:w="120" w:type="dxa"/>
              <w:bottom w:w="120" w:type="dxa"/>
              <w:left w:w="100" w:type="dxa"/>
              <w:right w:w="100" w:type="dxa"/>
            </w:tcMar>
          </w:tcPr>
          <w:p>
            <w:pPr>
              <w:jc w:val="center"/>
            </w:pPr>
            <w:r>
              <w:rPr>
                <w:rFonts w:ascii="Times New Roman" w:hAnsi="Times New Roman"/>
                <w:b/>
                <w:color w:val="183C6C"/>
                <w:sz w:val="22"/>
              </w:rPr>
              <w:t>CWE ứng viên nghiên cứu (Candidate Mapping)</w:t>
            </w:r>
          </w:p>
        </w:tc>
        <w:tc>
          <w:tcPr>
            <w:tcW w:type="dxa" w:w="2549"/>
            <w:shd w:fill="EBF1F5"/>
            <w:tcMar>
              <w:top w:w="120" w:type="dxa"/>
              <w:bottom w:w="120" w:type="dxa"/>
              <w:left w:w="100" w:type="dxa"/>
              <w:right w:w="100" w:type="dxa"/>
            </w:tcMar>
          </w:tcPr>
          <w:p>
            <w:pPr>
              <w:jc w:val="center"/>
            </w:pPr>
            <w:r>
              <w:rPr>
                <w:rFonts w:ascii="Times New Roman" w:hAnsi="Times New Roman"/>
                <w:b/>
                <w:color w:val="183C6C"/>
                <w:sz w:val="22"/>
              </w:rPr>
              <w:t>Ghi chú phạm vi &amp; Ranh giới</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1</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Boundary / conditional logic</w:t>
              <w:br/>
              <w:t>(Lỗi logic ranh giới &amp; điều kiện)</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CWE-193 (Off-by-one)</w:t>
              <w:br/>
              <w:t>CWE-476 (NULL Dereference / NoneType)</w:t>
              <w:br/>
              <w:t>CWE-754 (Exceptional Conditions)</w:t>
              <w:br/>
              <w:t>CWE-670 (Control Flow)</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Chủ yếu là lỗi độ tin cậy chức năng (functional reliability). Cần gán thuộc tính impact để phân biệt với lỗi bảo mật.</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2</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Input validation &amp; sanitization</w:t>
              <w:br/>
              <w:t>(Thiếu kiểm tra / làm sạch đầu vào)</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CWE-20 (Improper Input Validation)</w:t>
              <w:br/>
              <w:t>CWE-116 (Improper Encoding/Escaping)</w:t>
              <w:br/>
              <w:t>CWE-1287 (Type Validation)</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Thiếu kiểm tra schema Pydantic/Marshmallow, thiếu ràng buộc kiểu/độ dài. Phân biệt với lỗi tại bồn trũng (sink) ở Nhóm 3, 4.</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3</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SQL / ORM injection</w:t>
              <w:br/>
              <w:t>(Tiêm mã lệnh SQL / ORM)</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CWE-89 (SQL Injection)</w:t>
              <w:br/>
              <w:t>CWE-943 (Data Query Logic Flaws)</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Nối chuỗi trong raw SQL hoặc trong mệnh đề ORM thô (ví dụ SQLAlchemy session.execute(text(...))).</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4</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Path traversal / unsafe file ops</w:t>
              <w:br/>
              <w:t>(Thao tác tệp tin không an toàn)</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CWE-22 (Path Traversal)</w:t>
              <w:br/>
              <w:t>CWE-73 (External Control of File Path)</w:t>
              <w:br/>
              <w:t>CWE-434 (Unrestricted Upload)</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Thoát thư mục qua '../', ghi đè tệp ngoài ý muốn, upload tệp tin không kiểm soát phần mở rộng.</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5</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Missing / broken authentication</w:t>
              <w:br/>
              <w:t>(Lỗi xác thực người dùng)</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CWE-306 (Missing Authentication)</w:t>
              <w:br/>
              <w:t>CWE-287 (Improper Authentication)</w:t>
              <w:br/>
              <w:t>CWE-347 (Improper Signature Check)</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API endpoint nhạy cảm không có bảo vệ xác thực, bỏ qua kiểm tra chữ ký JWT (verify_signature=False), lộ secret key.</w:t>
            </w:r>
          </w:p>
        </w:tc>
      </w:tr>
      <w:tr>
        <w:tc>
          <w:tcPr>
            <w:tcW w:type="dxa" w:w="720"/>
            <w:tcMar>
              <w:top w:w="100" w:type="dxa"/>
              <w:bottom w:w="100" w:type="dxa"/>
              <w:left w:w="100" w:type="dxa"/>
              <w:right w:w="100" w:type="dxa"/>
            </w:tcMar>
          </w:tcPr>
          <w:p>
            <w:pPr>
              <w:spacing w:after="0" w:line="276" w:lineRule="auto"/>
              <w:jc w:val="center"/>
            </w:pPr>
            <w:r>
              <w:rPr>
                <w:rFonts w:ascii="Times New Roman" w:hAnsi="Times New Roman"/>
                <w:b/>
                <w:sz w:val="20"/>
              </w:rPr>
              <w:t>6</w:t>
            </w:r>
          </w:p>
        </w:tc>
        <w:tc>
          <w:tcPr>
            <w:tcW w:type="dxa" w:w="3168"/>
            <w:tcMar>
              <w:top w:w="100" w:type="dxa"/>
              <w:bottom w:w="100" w:type="dxa"/>
              <w:left w:w="100" w:type="dxa"/>
              <w:right w:w="100" w:type="dxa"/>
            </w:tcMar>
          </w:tcPr>
          <w:p>
            <w:pPr>
              <w:spacing w:after="0" w:line="276" w:lineRule="auto"/>
              <w:jc w:val="left"/>
            </w:pPr>
            <w:r>
              <w:rPr>
                <w:rFonts w:ascii="Times New Roman" w:hAnsi="Times New Roman"/>
                <w:sz w:val="20"/>
              </w:rPr>
              <w:t>Missing / broken authorization</w:t>
              <w:br/>
              <w:t>(Lỗi phân quyền &amp; kiểm soát truy cập)</w:t>
            </w:r>
          </w:p>
        </w:tc>
        <w:tc>
          <w:tcPr>
            <w:tcW w:type="dxa" w:w="3312"/>
            <w:tcMar>
              <w:top w:w="100" w:type="dxa"/>
              <w:bottom w:w="100" w:type="dxa"/>
              <w:left w:w="100" w:type="dxa"/>
              <w:right w:w="100" w:type="dxa"/>
            </w:tcMar>
          </w:tcPr>
          <w:p>
            <w:pPr>
              <w:spacing w:after="0" w:line="276" w:lineRule="auto"/>
              <w:jc w:val="left"/>
            </w:pPr>
            <w:r>
              <w:rPr>
                <w:rFonts w:ascii="Times New Roman" w:hAnsi="Times New Roman"/>
                <w:sz w:val="20"/>
              </w:rPr>
              <w:t>CWE-862 (Missing Authorization)</w:t>
              <w:br/>
              <w:t>CWE-639 (User-Controlled Key / IDOR / BOLA)</w:t>
              <w:br/>
              <w:t>CWE-863 (Incorrect Authorization)</w:t>
            </w:r>
          </w:p>
        </w:tc>
        <w:tc>
          <w:tcPr>
            <w:tcW w:type="dxa" w:w="2549"/>
            <w:tcMar>
              <w:top w:w="100" w:type="dxa"/>
              <w:bottom w:w="100" w:type="dxa"/>
              <w:left w:w="100" w:type="dxa"/>
              <w:right w:w="100" w:type="dxa"/>
            </w:tcMar>
          </w:tcPr>
          <w:p>
            <w:pPr>
              <w:spacing w:after="0" w:line="276" w:lineRule="auto"/>
              <w:jc w:val="left"/>
            </w:pPr>
            <w:r>
              <w:rPr>
                <w:rFonts w:ascii="Times New Roman" w:hAnsi="Times New Roman"/>
                <w:sz w:val="20"/>
              </w:rPr>
              <w:t>Thiếu kiểm tra quyền sở hữu tài nguyên (IDOR/BOLA), leo thang đặc quyền dọc/ngang, so sánh vai trò sai logic.</w:t>
            </w:r>
          </w:p>
        </w:tc>
      </w:tr>
    </w:tbl>
    <w:p>
      <w:pPr>
        <w:spacing w:after="80" w:line="288" w:lineRule="auto"/>
        <w:jc w:val="both"/>
      </w:pPr>
      <w:r>
        <w:rPr>
          <w:rFonts w:ascii="Times New Roman" w:hAnsi="Times New Roman"/>
          <w:i/>
        </w:rPr>
        <w:t xml:space="preserve">Lưu ý pháp lý học thuật: </w:t>
      </w:r>
      <w:r>
        <w:rPr>
          <w:rFonts w:ascii="Times New Roman" w:hAnsi="Times New Roman"/>
        </w:rPr>
        <w:t>Toàn bộ bảng ánh xạ CWE trên hiện là kết quả nghiên cứu đề xuất của sinh viên và được gắn nhãn PENDING SUPERVISOR. Danh mục CWE chính thức sẽ được chốt sau khi Giảng viên hướng dẫn rà soát và cho ý kiến chỉ đạo.</w:t>
      </w:r>
    </w:p>
    <w:p>
      <w:pPr>
        <w:keepNext/>
        <w:spacing w:before="280" w:after="120"/>
      </w:pPr>
      <w:r>
        <w:rPr>
          <w:rFonts w:ascii="Times New Roman" w:hAnsi="Times New Roman"/>
          <w:b/>
          <w:color w:val="183C6C"/>
          <w:sz w:val="28"/>
        </w:rPr>
        <w:t>4. Phạm vi và định hướng đã được xác nhận với Giảng viên hướng dẫn</w:t>
      </w:r>
    </w:p>
    <w:p>
      <w:pPr>
        <w:spacing w:after="80" w:line="288" w:lineRule="auto"/>
        <w:jc w:val="both"/>
      </w:pPr>
      <w:r>
        <w:rPr>
          <w:rFonts w:ascii="Times New Roman" w:hAnsi="Times New Roman"/>
        </w:rPr>
        <w:t>Căn cứ trên nội dung email phản hồi chỉ đạo của ThS. Trần Thị Hồng Yến trong giai đoạn Tuần 1–2, khóa luận đã được xác nhận chính thức các định hướng lớn và ranh giới hệ thống như sau:</w:t>
      </w:r>
    </w:p>
    <w:tbl>
      <w:tblPr>
        <w:tblW w:type="auto" w:w="0"/>
        <w:jc w:val="center"/>
        <w:tblLook w:firstColumn="1" w:firstRow="1" w:lastColumn="0" w:lastRow="0" w:noHBand="0" w:noVBand="1" w:val="04A0"/>
      </w:tblPr>
      <w:tblGrid>
        <w:gridCol w:w="9317"/>
      </w:tblGrid>
      <w:tr>
        <w:tc>
          <w:tcPr>
            <w:tcW w:type="dxa" w:w="9317"/>
            <w:shd w:fill="F2F5F9"/>
            <w:tcMar>
              <w:top w:w="140" w:type="dxa"/>
              <w:bottom w:w="140" w:type="dxa"/>
              <w:left w:w="200" w:type="dxa"/>
              <w:right w:w="200" w:type="dxa"/>
            </w:tcMar>
            <w:tcBorders>
              <w:left w:val="single" w:sz="24" w:space="0" w:color="1F4E79"/>
              <w:top w:val="none"/>
              <w:right w:val="none"/>
              <w:bottom w:val="none"/>
            </w:tcBorders>
          </w:tcPr>
          <w:p>
            <w:pPr>
              <w:spacing w:after="40" w:line="288" w:lineRule="auto"/>
            </w:pPr>
            <w:r>
              <w:rPr>
                <w:rFonts w:ascii="Times New Roman" w:hAnsi="Times New Roman"/>
                <w:b/>
                <w:color w:val="183C6C"/>
              </w:rPr>
              <w:t xml:space="preserve">CĂN CỨ PHÁP LÝ ĐỀ TÀI: </w:t>
            </w:r>
            <w:r>
              <w:rPr>
                <w:rFonts w:ascii="Times New Roman" w:hAnsi="Times New Roman"/>
                <w:sz w:val="23"/>
              </w:rPr>
              <w:t>Nội dung tại mục này là định hướng đã được Giảng viên hướng dẫn xác nhận chính thức qua email. Mọi thiết kế kiến trúc và phương pháp luận triển khai tiếp theo đều phải tuyệt đối bám sát các ranh giới này.</w:t>
            </w:r>
          </w:p>
        </w:tc>
      </w:tr>
    </w:tbl>
    <w:p>
      <w:pPr>
        <w:spacing w:after="40"/>
      </w:pPr>
    </w:p>
    <w:p>
      <w:pPr>
        <w:keepNext/>
        <w:spacing w:before="200" w:after="80"/>
      </w:pPr>
      <w:r>
        <w:rPr>
          <w:rFonts w:ascii="Times New Roman" w:hAnsi="Times New Roman"/>
          <w:b/>
          <w:color w:val="296299"/>
          <w:sz w:val="25"/>
        </w:rPr>
        <w:t>4.1 Phạm vi sản phẩm tối thiểu cốt lõi (Core MVP)</w:t>
      </w:r>
    </w:p>
    <w:p>
      <w:pPr>
        <w:spacing w:after="80" w:line="288" w:lineRule="auto"/>
        <w:jc w:val="both"/>
      </w:pPr>
      <w:r>
        <w:rPr>
          <w:rFonts w:ascii="Times New Roman" w:hAnsi="Times New Roman"/>
        </w:rPr>
        <w:t>Phạm vi cốt lõi của khóa luận tốt nghiệp (Core MVP) được xác định rõ là: Xây dựng hệ thống kiểm thử và phát hiện tự động lỗi logic và lỗi bảo mật trên các Git Pull Request (PR). Quy trình xử lý hoàn chỉnh bao gồm các khâu: Tiếp nhận sự kiện PR -&gt; Khảo sát diff và tệp liên quan -&gt; Phân tích kết hợp (Tĩnh + LLM) -&gt; Tổng hợp &amp; Khử trùng lặp cảnh báo -&gt; Công bố kết quả review dòng trực tiếp lên PR.</w:t>
      </w:r>
    </w:p>
    <w:p>
      <w:pPr>
        <w:keepNext/>
        <w:spacing w:before="200" w:after="80"/>
      </w:pPr>
      <w:r>
        <w:rPr>
          <w:rFonts w:ascii="Times New Roman" w:hAnsi="Times New Roman"/>
          <w:b/>
          <w:color w:val="296299"/>
          <w:sz w:val="25"/>
        </w:rPr>
        <w:t>4.2 Ba trụ cột đóng góp cốt lõi của đề tài</w:t>
      </w:r>
    </w:p>
    <w:p>
      <w:pPr>
        <w:pStyle w:val="ListBullet"/>
        <w:spacing w:after="60" w:line="276" w:lineRule="auto"/>
        <w:jc w:val="both"/>
      </w:pPr>
      <w:r>
        <w:rPr>
          <w:rFonts w:ascii="Times New Roman" w:hAnsi="Times New Roman"/>
          <w:b/>
        </w:rPr>
        <w:t xml:space="preserve">1. Hybrid Audit (Kiểm toán kết hợp): </w:t>
      </w:r>
      <w:r>
        <w:rPr>
          <w:rFonts w:ascii="Times New Roman" w:hAnsi="Times New Roman"/>
        </w:rPr>
        <w:t>Kết hợp công cụ phân tích tĩnh xác định (AST, Linter) với mô hình ngôn ngữ lớn (LLM). Phân tích tĩnh xử lý triệt để các lỗi cú pháp và vi phạm quy ước nội tệp, trong khi LLM tập trung vào phân tích ngữ nghĩa, logic nghiệp vụ và các lỗ hổng bảo mật phức tạp.</w:t>
      </w:r>
    </w:p>
    <w:p>
      <w:pPr>
        <w:pStyle w:val="ListBullet"/>
        <w:spacing w:after="60" w:line="276" w:lineRule="auto"/>
        <w:jc w:val="both"/>
      </w:pPr>
      <w:r>
        <w:rPr>
          <w:rFonts w:ascii="Times New Roman" w:hAnsi="Times New Roman"/>
          <w:b/>
        </w:rPr>
        <w:t xml:space="preserve">2. Repo-level Context (Ngữ cảnh cấp kho): </w:t>
      </w:r>
      <w:r>
        <w:rPr>
          <w:rFonts w:ascii="Times New Roman" w:hAnsi="Times New Roman"/>
        </w:rPr>
        <w:t>Sử dụng đồ thị mã nguồn (Code Graph) hoặc cơ chế Repo RAG để cung cấp ngữ cảnh toàn kho mã nguồn cho quá trình phân tích, giúp hệ thống hiểu được các mối quan hệ liên tệp (hàm gọi, định nghĩa lớp, phụ thuộc mô-đun) thay vì chỉ nhìn vào đoạn diff rời rạc.</w:t>
      </w:r>
    </w:p>
    <w:p>
      <w:pPr>
        <w:pStyle w:val="ListBullet"/>
        <w:spacing w:after="60" w:line="276" w:lineRule="auto"/>
        <w:jc w:val="both"/>
      </w:pPr>
      <w:r>
        <w:rPr>
          <w:rFonts w:ascii="Times New Roman" w:hAnsi="Times New Roman"/>
          <w:b/>
        </w:rPr>
        <w:t xml:space="preserve">3. Quantitative Evaluation (Đánh giá định lượng): </w:t>
      </w:r>
      <w:r>
        <w:rPr>
          <w:rFonts w:ascii="Times New Roman" w:hAnsi="Times New Roman"/>
        </w:rPr>
        <w:t>Xây dựng bộ dữ liệu benchmark chuẩn hóa dựa trên các phân loại chuẩn công nghiệp (CWE, OWASP) và tiến hành đánh giá thực nghiệm định lượng một cách khoa học bằng các chỉ số đo lường chuẩn: Precision (Độ chính xác), Recall (Độ bao phủ) và False Positive Rate (Tỷ lệ báo động giả), kết hợp đo lường độ trễ và chi phí vận hành.</w:t>
      </w:r>
    </w:p>
    <w:p>
      <w:pPr>
        <w:keepNext/>
        <w:spacing w:before="200" w:after="80"/>
      </w:pPr>
      <w:r>
        <w:rPr>
          <w:rFonts w:ascii="Times New Roman" w:hAnsi="Times New Roman"/>
          <w:b/>
          <w:color w:val="296299"/>
          <w:sz w:val="25"/>
        </w:rPr>
        <w:t>4.3 Hướng nâng cao / Mở rộng (Advanced / Stretch Direction)</w:t>
      </w:r>
    </w:p>
    <w:p>
      <w:pPr>
        <w:spacing w:after="80" w:line="288" w:lineRule="auto"/>
        <w:jc w:val="both"/>
      </w:pPr>
      <w:r>
        <w:rPr>
          <w:rFonts w:ascii="Times New Roman" w:hAnsi="Times New Roman"/>
        </w:rPr>
        <w:t>Giảng viên hướng dẫn đã xác nhận hướng mở rộng tiềm năng của đề tài là xây dựng mô-đun AI Guardrail nhằm kiểm tra sự tuân thủ của mã nguồn do các trợ lý AI sinh ra so với tiêu chuẩn của dự án. Tuy nhiên, đây là hướng mở rộng (stretch goal), được hoãn lại sau và không nằm trong phạm vi bắt buộc của Core MVP.</w:t>
      </w:r>
    </w:p>
    <w:p>
      <w:pPr>
        <w:keepNext/>
        <w:spacing w:before="200" w:after="80"/>
      </w:pPr>
      <w:r>
        <w:rPr>
          <w:rFonts w:ascii="Times New Roman" w:hAnsi="Times New Roman"/>
          <w:b/>
          <w:color w:val="296299"/>
          <w:sz w:val="25"/>
        </w:rPr>
        <w:t>4.4 Ranh giới kỹ thuật mô hình</w:t>
      </w:r>
    </w:p>
    <w:p>
      <w:pPr>
        <w:spacing w:after="80" w:line="288" w:lineRule="auto"/>
        <w:jc w:val="both"/>
      </w:pPr>
      <w:r>
        <w:rPr>
          <w:rFonts w:ascii="Times New Roman" w:hAnsi="Times New Roman"/>
        </w:rPr>
        <w:t>Khóa luận sử dụng các API LLM thương mại hoặc mô hình mã nguồn mở có sẵn. Đề tài tập trung chuyên sâu vào kỹ thuật điều phối (orchestration), tích hợp hệ thống, trích xuất ngữ cảnh kho và thiết kế quy trình đánh giá khoa học, hoàn toàn không bao gồm việc tự xây dựng, huấn luyện hay fine-tuning mô hình ngôn ngữ lớn.</w:t>
      </w:r>
    </w:p>
    <w:p>
      <w:pPr>
        <w:keepNext/>
        <w:spacing w:before="280" w:after="120"/>
      </w:pPr>
      <w:r>
        <w:rPr>
          <w:rFonts w:ascii="Times New Roman" w:hAnsi="Times New Roman"/>
          <w:b/>
          <w:color w:val="183C6C"/>
          <w:sz w:val="28"/>
        </w:rPr>
        <w:t>5. Các quyết định phương pháp làm việc hiện tại của sinh viên</w:t>
      </w:r>
    </w:p>
    <w:p>
      <w:pPr>
        <w:spacing w:after="80" w:line="288" w:lineRule="auto"/>
        <w:jc w:val="both"/>
      </w:pPr>
      <w:r>
        <w:rPr>
          <w:rFonts w:ascii="Times New Roman" w:hAnsi="Times New Roman"/>
        </w:rPr>
        <w:t>Để phục vụ việc soạn thảo các tài liệu đặc tả yêu cầu và thiết kế benchmark trong Tuần 1–2, sinh viên đã đưa ra các quyết định phương pháp làm việc cụ thể. Các quyết định này mang tính chất đề xuất phương pháp nghiên cứu của sinh viên và được trình bày chi tiết dưới đây để kính xin ý kiến chỉ đạo, rà soát của Giảng viên hướng dẫn: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29"/>
        <w:gridCol w:w="2329"/>
        <w:gridCol w:w="2329"/>
        <w:gridCol w:w="2329"/>
      </w:tblGrid>
      <w:tr>
        <w:tc>
          <w:tcPr>
            <w:tcW w:type="dxa" w:w="720"/>
            <w:shd w:fill="EBF1F5"/>
            <w:tcMar>
              <w:top w:w="120" w:type="dxa"/>
              <w:bottom w:w="120" w:type="dxa"/>
              <w:left w:w="100" w:type="dxa"/>
              <w:right w:w="100" w:type="dxa"/>
            </w:tcMar>
          </w:tcPr>
          <w:p>
            <w:pPr>
              <w:jc w:val="center"/>
            </w:pPr>
            <w:r>
              <w:rPr>
                <w:rFonts w:ascii="Times New Roman" w:hAnsi="Times New Roman"/>
                <w:b/>
                <w:color w:val="183C6C"/>
                <w:sz w:val="22"/>
              </w:rPr>
              <w:t>STT</w:t>
            </w:r>
          </w:p>
        </w:tc>
        <w:tc>
          <w:tcPr>
            <w:tcW w:type="dxa" w:w="2880"/>
            <w:shd w:fill="EBF1F5"/>
            <w:tcMar>
              <w:top w:w="120" w:type="dxa"/>
              <w:bottom w:w="120" w:type="dxa"/>
              <w:left w:w="100" w:type="dxa"/>
              <w:right w:w="100" w:type="dxa"/>
            </w:tcMar>
          </w:tcPr>
          <w:p>
            <w:pPr>
              <w:jc w:val="center"/>
            </w:pPr>
            <w:r>
              <w:rPr>
                <w:rFonts w:ascii="Times New Roman" w:hAnsi="Times New Roman"/>
                <w:b/>
                <w:color w:val="183C6C"/>
                <w:sz w:val="22"/>
              </w:rPr>
              <w:t>Nội dung phương pháp</w:t>
            </w:r>
          </w:p>
        </w:tc>
        <w:tc>
          <w:tcPr>
            <w:tcW w:type="dxa" w:w="4608"/>
            <w:shd w:fill="EBF1F5"/>
            <w:tcMar>
              <w:top w:w="120" w:type="dxa"/>
              <w:bottom w:w="120" w:type="dxa"/>
              <w:left w:w="100" w:type="dxa"/>
              <w:right w:w="100" w:type="dxa"/>
            </w:tcMar>
          </w:tcPr>
          <w:p>
            <w:pPr>
              <w:jc w:val="center"/>
            </w:pPr>
            <w:r>
              <w:rPr>
                <w:rFonts w:ascii="Times New Roman" w:hAnsi="Times New Roman"/>
                <w:b/>
                <w:color w:val="183C6C"/>
                <w:sz w:val="22"/>
              </w:rPr>
              <w:t>Quyết định / Đề xuất hiện tại của sinh viên</w:t>
            </w:r>
          </w:p>
        </w:tc>
        <w:tc>
          <w:tcPr>
            <w:tcW w:type="dxa" w:w="1541"/>
            <w:shd w:fill="EBF1F5"/>
            <w:tcMar>
              <w:top w:w="120" w:type="dxa"/>
              <w:bottom w:w="120" w:type="dxa"/>
              <w:left w:w="100" w:type="dxa"/>
              <w:right w:w="100" w:type="dxa"/>
            </w:tcMar>
          </w:tcPr>
          <w:p>
            <w:pPr>
              <w:jc w:val="center"/>
            </w:pPr>
            <w:r>
              <w:rPr>
                <w:rFonts w:ascii="Times New Roman" w:hAnsi="Times New Roman"/>
                <w:b/>
                <w:color w:val="183C6C"/>
                <w:sz w:val="22"/>
              </w:rPr>
              <w:t>Trạng thái pháp lý</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1</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Phân loại 6 nhóm lỗi ban đầu</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Khóa tạm thời 6 nhóm lỗi mục tiêu cho quy mô đề tài 18 tuần. Chỉ mở rộng tối đa 2 nhóm nếu quá trình thu thập thực tế phát sinh tự nhiên và có biện giải.</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 — Chờ GVHD xác nhận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2</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Thuộc tính impact cho Nhóm 1</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Không tạo nhóm thứ 7; giữ nguyên 6 nhóm lỗi và bổ sung thuộc tính trực giao impact = functional | security cho Nhóm 1 để tách bạch lỗi chức năng và lỗi bảo mật.</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3</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Quy mô bộ dữ liệu benchmark</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Đặt ngưỡng tối thiểu 100 ca kiểm thử (50 lỗi / 50 sạch) làm ngưỡng sàn thống kê, không đặt trần tối đa ở giai đoạn này.</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4</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Cân bằng giữa các nhóm lỗi</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Số lượng ca phân bổ giữa 6 nhóm lỗi bảo đảm chênh lệch không quá 10 ca để tránh thiên lệch khi đo lường Recall theo nhóm.</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5</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Chiến lược nguồn dữ liệu</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Ưu tiên tối đa lỗi thực tế từ kho mở (BugsInPy, SWE-bench, khai thác PR). Dữ liệu tổng hợp (SWE-smith) chỉ dùng bù đắp khoảng trống, không áp hạn ngạch % cứng.</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6</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Biểu diễn đa nhãn CWE</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Cho phép tối đa 3 nhãn CWE cho một ca lỗi khi có căn cứ rõ ràng; nếu cơ chế tính điểm đa nhãn quá phức tạp, quay về 1 nhãn CWE chính duy nhất.</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 — Thử nghiệm</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7</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Quy tắc khớp True Positive (TP)</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Đề xuất quy tắc 3 điều kiện: (A) Khớp tệp chuẩn hóa; (B) Khớp nhóm/CWE (hoặc nằm trong tập CWE thay thế khai báo trước); (C) Khớp vị trí (trùng lặp hoặc dung sai đề xuất ±10 dòng).</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Đề xuất phương pháp — Chờ GVHD góp ý</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8</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Xử lý phát hiện nhiều dòng</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Bất kỳ sự trùng lặp dòng nào với khoảng dòng lỗi ground-truth đều thỏa mãn điều kiện vị trí dòng.</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9</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Nguyên tắc khớp 1-to-1</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Khớp một - một nghiêm ngặt. Mỗi lỗi ground-truth chỉ được tiêu thụ một lần duy nhất bởi một dự đoán khớp.</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10</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Xử lý dự đoán dư thừa</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Mọi dự đoán bổ sung không khớp với lỗi ground-truth chưa tiêu thụ đều bị tính là False Positive (FP), kể cả khi PR đó đã có dự đoán khớp đúng.</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11</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Quy tắc đánh giá trên PR sạch</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Mọi cảnh báo phát hiện trên PR sạch đều được tính là False Positive (FP).</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Quyết định của sinh viên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12</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Tính chất ngưỡng Precision/Recall</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Precision &gt;= 75% và Recall &gt;= 60% là mục tiêu nghiên cứu / giả thuyết thực nghiệm, KHÔNG PHẢI tiêu chí nghiệm thu phần mềm (không phải pass/fail gate).</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Làm rõ phương pháp luận</w:t>
            </w:r>
          </w:p>
        </w:tc>
      </w:tr>
      <w:tr>
        <w:tc>
          <w:tcPr>
            <w:tcW w:type="dxa" w:w="720"/>
            <w:tcMar>
              <w:top w:w="90" w:type="dxa"/>
              <w:bottom w:w="90" w:type="dxa"/>
              <w:left w:w="90" w:type="dxa"/>
              <w:right w:w="90" w:type="dxa"/>
            </w:tcMar>
          </w:tcPr>
          <w:p>
            <w:pPr>
              <w:spacing w:after="0" w:line="276" w:lineRule="auto"/>
              <w:jc w:val="center"/>
            </w:pPr>
            <w:r>
              <w:rPr>
                <w:rFonts w:ascii="Times New Roman" w:hAnsi="Times New Roman"/>
                <w:b/>
                <w:sz w:val="20"/>
              </w:rPr>
              <w:t>13</w:t>
            </w:r>
          </w:p>
        </w:tc>
        <w:tc>
          <w:tcPr>
            <w:tcW w:type="dxa" w:w="2880"/>
            <w:tcMar>
              <w:top w:w="90" w:type="dxa"/>
              <w:bottom w:w="90" w:type="dxa"/>
              <w:left w:w="90" w:type="dxa"/>
              <w:right w:w="90" w:type="dxa"/>
            </w:tcMar>
          </w:tcPr>
          <w:p>
            <w:pPr>
              <w:spacing w:after="0" w:line="276" w:lineRule="auto"/>
              <w:jc w:val="left"/>
            </w:pPr>
            <w:r>
              <w:rPr>
                <w:rFonts w:ascii="Times New Roman" w:hAnsi="Times New Roman"/>
                <w:sz w:val="20"/>
              </w:rPr>
              <w:t>Lựa chọn công nghệ triển khai</w:t>
            </w:r>
          </w:p>
        </w:tc>
        <w:tc>
          <w:tcPr>
            <w:tcW w:type="dxa" w:w="4608"/>
            <w:tcMar>
              <w:top w:w="90" w:type="dxa"/>
              <w:bottom w:w="90" w:type="dxa"/>
              <w:left w:w="90" w:type="dxa"/>
              <w:right w:w="90" w:type="dxa"/>
            </w:tcMar>
          </w:tcPr>
          <w:p>
            <w:pPr>
              <w:spacing w:after="0" w:line="276" w:lineRule="auto"/>
              <w:jc w:val="left"/>
            </w:pPr>
            <w:r>
              <w:rPr>
                <w:rFonts w:ascii="Times New Roman" w:hAnsi="Times New Roman"/>
                <w:sz w:val="20"/>
              </w:rPr>
              <w:t>Python, FastAPI/Flask, GitHub Actions, PostgreSQL/pgvector là khuyến nghị triển khai của sinh viên kế thừa từ nghiên cứu công cụ, không phải ràng buộc chính thức từ GVHD.</w:t>
            </w:r>
          </w:p>
        </w:tc>
        <w:tc>
          <w:tcPr>
            <w:tcW w:type="dxa" w:w="1541"/>
            <w:tcMar>
              <w:top w:w="90" w:type="dxa"/>
              <w:bottom w:w="90" w:type="dxa"/>
              <w:left w:w="90" w:type="dxa"/>
              <w:right w:w="90" w:type="dxa"/>
            </w:tcMar>
          </w:tcPr>
          <w:p>
            <w:pPr>
              <w:spacing w:after="0" w:line="276" w:lineRule="auto"/>
              <w:jc w:val="left"/>
            </w:pPr>
            <w:r>
              <w:rPr>
                <w:rFonts w:ascii="Times New Roman" w:hAnsi="Times New Roman"/>
                <w:i/>
                <w:color w:val="646464"/>
                <w:sz w:val="20"/>
              </w:rPr>
              <w:t>Khuyến nghị kỹ thuật</w:t>
            </w:r>
          </w:p>
        </w:tc>
      </w:tr>
    </w:tbl>
    <w:p>
      <w:pPr>
        <w:spacing w:after="160"/>
      </w:pPr>
    </w:p>
    <w:p>
      <w:pPr>
        <w:keepNext/>
        <w:spacing w:before="280" w:after="120"/>
      </w:pPr>
      <w:r>
        <w:rPr>
          <w:rFonts w:ascii="Times New Roman" w:hAnsi="Times New Roman"/>
          <w:b/>
          <w:color w:val="183C6C"/>
          <w:sz w:val="28"/>
        </w:rPr>
        <w:t>6. Danh mục tài liệu và sản phẩm đã hoàn thành trong Tuần 1–2</w:t>
      </w:r>
    </w:p>
    <w:p>
      <w:pPr>
        <w:spacing w:after="80" w:line="288" w:lineRule="auto"/>
        <w:jc w:val="both"/>
      </w:pPr>
      <w:r>
        <w:rPr>
          <w:rFonts w:ascii="Times New Roman" w:hAnsi="Times New Roman"/>
        </w:rPr>
        <w:t>Toàn bộ các tài liệu kỹ thuật, nghiên cứu và nhật ký phát triển được lưu trữ có cấu trúc trong thư mục Project Documents/:</w:t>
      </w:r>
    </w:p>
    <w:p>
      <w:pPr>
        <w:pStyle w:val="ListBullet"/>
        <w:spacing w:after="60" w:line="276" w:lineRule="auto"/>
        <w:jc w:val="both"/>
      </w:pPr>
      <w:r>
        <w:rPr>
          <w:rFonts w:ascii="Times New Roman" w:hAnsi="Times New Roman"/>
          <w:b/>
        </w:rPr>
        <w:t xml:space="preserve">Project Documents/manifesto.md: </w:t>
      </w:r>
      <w:r>
        <w:rPr>
          <w:rFonts w:ascii="Times New Roman" w:hAnsi="Times New Roman"/>
        </w:rPr>
        <w:t>Tài liệu Thiết kế Hệ thống cấp cao (System Manifesto): Định hình bài toán, kiến trúc 4 cấu hình đánh giá (A/B/C/D), tech stack, nguyên tắc dữ liệu; đã đồng bộ hóa 3 trụ cột và phạm vi MVP theo xác nhận của GVHD.</w:t>
      </w:r>
    </w:p>
    <w:p>
      <w:pPr>
        <w:pStyle w:val="ListBullet"/>
        <w:spacing w:after="60" w:line="276" w:lineRule="auto"/>
        <w:jc w:val="both"/>
      </w:pPr>
      <w:r>
        <w:rPr>
          <w:rFonts w:ascii="Times New Roman" w:hAnsi="Times New Roman"/>
          <w:b/>
        </w:rPr>
        <w:t xml:space="preserve">Project Documents/AI_hand_off.md: </w:t>
      </w:r>
      <w:r>
        <w:rPr>
          <w:rFonts w:ascii="Times New Roman" w:hAnsi="Times New Roman"/>
        </w:rPr>
        <w:t>Tài liệu Bàn giao Trạng thái Dự án (AI Hand-off): Lưu trữ ngữ cảnh dự án, trạng thái checklist Tuần 1–2, các bài học kinh nghiệm và phân định rõ giữa định hướng của GVHD và quyết định của sinh viên.</w:t>
      </w:r>
    </w:p>
    <w:p>
      <w:pPr>
        <w:pStyle w:val="ListBullet"/>
        <w:spacing w:after="60" w:line="276" w:lineRule="auto"/>
        <w:jc w:val="both"/>
      </w:pPr>
      <w:r>
        <w:rPr>
          <w:rFonts w:ascii="Times New Roman" w:hAnsi="Times New Roman"/>
          <w:b/>
        </w:rPr>
        <w:t xml:space="preserve">Project Documents/devlog.md: </w:t>
      </w:r>
      <w:r>
        <w:rPr>
          <w:rFonts w:ascii="Times New Roman" w:hAnsi="Times New Roman"/>
        </w:rPr>
        <w:t>Nhật ký Phát triển Dự án (Devlog): Ghi chép chi tiết 15 phiên làm việc (từ Session 0 đến Session 14) theo nguyên tắc append-only, bảo đảm truy vết 100% các quyết định, sửa đổi và kiểm toán tài liệu.</w:t>
      </w:r>
    </w:p>
    <w:p>
      <w:pPr>
        <w:pStyle w:val="ListBullet"/>
        <w:spacing w:after="60" w:line="276" w:lineRule="auto"/>
        <w:jc w:val="both"/>
      </w:pPr>
      <w:r>
        <w:rPr>
          <w:rFonts w:ascii="Times New Roman" w:hAnsi="Times New Roman"/>
          <w:b/>
        </w:rPr>
        <w:t xml:space="preserve">Project Documents/requirements/functional_nonfunctional_requirements.md: </w:t>
      </w:r>
      <w:r>
        <w:rPr>
          <w:rFonts w:ascii="Times New Roman" w:hAnsi="Times New Roman"/>
        </w:rPr>
        <w:t>Bản Đặc tả Yêu cầu Chức năng &amp; Phi Chức năng: Quy định 9 yêu cầu chức năng (FR-01 đến FR-09) và 6 yêu cầu phi chức năng (NFR-01 đến NFR-06) theo cấu trúc kiểm thử được; đã chuẩn hóa FR-05 thành yêu cầu năng lực.</w:t>
      </w:r>
    </w:p>
    <w:p>
      <w:pPr>
        <w:pStyle w:val="ListBullet"/>
        <w:spacing w:after="60" w:line="276" w:lineRule="auto"/>
        <w:jc w:val="both"/>
      </w:pPr>
      <w:r>
        <w:rPr>
          <w:rFonts w:ascii="Times New Roman" w:hAnsi="Times New Roman"/>
          <w:b/>
        </w:rPr>
        <w:t xml:space="preserve">Project Documents/dataset/dataset_design_test_case_list.md: </w:t>
      </w:r>
      <w:r>
        <w:rPr>
          <w:rFonts w:ascii="Times New Roman" w:hAnsi="Times New Roman"/>
        </w:rPr>
        <w:t>Bản Thiết kế Bộ Dữ liệu Đánh giá Chuẩn (Benchmark Dataset Design): Định nghĩa lược đồ 16 trường metadata, quy tắc kiểm chứng Ground Truth 5 bước, quy định phân chia 30/70 Dev/Test, chính sách nguồn dữ liệu và quy tắc khớp phát hiện.</w:t>
      </w:r>
    </w:p>
    <w:p>
      <w:pPr>
        <w:pStyle w:val="ListBullet"/>
        <w:spacing w:after="60" w:line="276" w:lineRule="auto"/>
        <w:jc w:val="both"/>
      </w:pPr>
      <w:r>
        <w:rPr>
          <w:rFonts w:ascii="Times New Roman" w:hAnsi="Times New Roman"/>
          <w:b/>
        </w:rPr>
        <w:t xml:space="preserve">Project Documents/research/R1_ruff_vs_semgrep.md: </w:t>
      </w:r>
      <w:r>
        <w:rPr>
          <w:rFonts w:ascii="Times New Roman" w:hAnsi="Times New Roman"/>
        </w:rPr>
        <w:t>Báo cáo Nghiên cứu Công cụ Phân tích tĩnh &amp; CI/CD: Đánh giá chi tiết Ruff, Semgrep CE và quy trình GitHub Actions PR review; đã kiểm toán tài liệu tham khảo và chính thức khép lại.</w:t>
      </w:r>
    </w:p>
    <w:p>
      <w:pPr>
        <w:pStyle w:val="ListBullet"/>
        <w:spacing w:after="60" w:line="276" w:lineRule="auto"/>
        <w:jc w:val="both"/>
      </w:pPr>
      <w:r>
        <w:rPr>
          <w:rFonts w:ascii="Times New Roman" w:hAnsi="Times New Roman"/>
          <w:b/>
        </w:rPr>
        <w:t xml:space="preserve">Project Documents/research/R2_repo_context_rag.md: </w:t>
      </w:r>
      <w:r>
        <w:rPr>
          <w:rFonts w:ascii="Times New Roman" w:hAnsi="Times New Roman"/>
        </w:rPr>
        <w:t>Báo cáo Nghiên cứu Kỹ thuật Trích xuất Ngữ cảnh Toàn kho: Khảo sát AST, Code Graph, Repo RAG, pgvector và cắt lát ngữ cảnh định hướng PR; đã đính chính các sai lệch siêu dữ liệu trích dẫn.</w:t>
      </w:r>
    </w:p>
    <w:p>
      <w:pPr>
        <w:pStyle w:val="ListBullet"/>
        <w:spacing w:after="60" w:line="276" w:lineRule="auto"/>
        <w:jc w:val="both"/>
      </w:pPr>
      <w:r>
        <w:rPr>
          <w:rFonts w:ascii="Times New Roman" w:hAnsi="Times New Roman"/>
          <w:b/>
        </w:rPr>
        <w:t xml:space="preserve">Project Documents/research/CWE_taxonomy.md: </w:t>
      </w:r>
      <w:r>
        <w:rPr>
          <w:rFonts w:ascii="Times New Roman" w:hAnsi="Times New Roman"/>
        </w:rPr>
        <w:t>Báo cáo Nghiên cứu Phân loại Lỗi &amp; Ánh xạ CWE: Phân tích 6 nhóm lỗi mục tiêu đối chiếu với MITRE CWE, NIST SP 800-53 và OWASP, làm rõ các ranh giới Base-level CWE phục vụ dán nhãn benchmark.</w:t>
      </w:r>
    </w:p>
    <w:p>
      <w:pPr>
        <w:keepNext/>
        <w:spacing w:before="280" w:after="120"/>
      </w:pPr>
      <w:r>
        <w:rPr>
          <w:rFonts w:ascii="Times New Roman" w:hAnsi="Times New Roman"/>
          <w:b/>
          <w:color w:val="183C6C"/>
          <w:sz w:val="28"/>
        </w:rPr>
        <w:t>7. Các vấn đề còn mở cần xin ý kiến Giảng viên hướng dẫn</w:t>
      </w:r>
    </w:p>
    <w:p>
      <w:pPr>
        <w:spacing w:after="80" w:line="288" w:lineRule="auto"/>
        <w:jc w:val="both"/>
      </w:pPr>
      <w:r>
        <w:rPr>
          <w:rFonts w:ascii="Times New Roman" w:hAnsi="Times New Roman"/>
        </w:rPr>
        <w:t>Nhằm bảo đảm tính đúng đắn về mặt phương pháp luận học thuật trước khi bước vào giai đoạn thiết kế kiến trúc chi tiết và thu thập dữ liệu trong Tuần 3–4, sinh viên kính trình Giảng viên hướng dẫn xem xét và cho ý kiến chỉ đạo đối với 7 vấn đề then chốt sau:</w:t>
      </w:r>
    </w:p>
    <w:p>
      <w:pPr>
        <w:pStyle w:val="ListBullet"/>
        <w:spacing w:after="60" w:line="276" w:lineRule="auto"/>
        <w:jc w:val="both"/>
      </w:pPr>
      <w:r>
        <w:rPr>
          <w:rFonts w:ascii="Times New Roman" w:hAnsi="Times New Roman"/>
          <w:b/>
        </w:rPr>
        <w:t xml:space="preserve">1. Khóa danh mục 6 nhóm lỗi mục tiêu và quy tắc mở rộng: </w:t>
      </w:r>
      <w:r>
        <w:rPr>
          <w:rFonts w:ascii="Times New Roman" w:hAnsi="Times New Roman"/>
        </w:rPr>
        <w:t>Sinh viên đề xuất khóa ban đầu 6 nhóm lỗi (Logic ranh giới, Kiểm tra đầu vào, SQL injection, Path traversal, Xác thực, Phân quyền). Quy tắc mở rộng: chỉ bổ sung tối đa 2 nhóm nếu quá trình thu thập benchmark phát sinh lỗi thực tế mang tính tự nhiên và có luận cứ rõ ràng. Kính xin Cô cho ý kiến chấp thuận về phạm vi phân loại này.</w:t>
      </w:r>
    </w:p>
    <w:p>
      <w:pPr>
        <w:pStyle w:val="ListBullet"/>
        <w:spacing w:after="60" w:line="276" w:lineRule="auto"/>
        <w:jc w:val="both"/>
      </w:pPr>
      <w:r>
        <w:rPr>
          <w:rFonts w:ascii="Times New Roman" w:hAnsi="Times New Roman"/>
          <w:b/>
        </w:rPr>
        <w:t xml:space="preserve">2. Rà soát và phê duyệt Bảng ánh xạ CWE chính thức: </w:t>
      </w:r>
      <w:r>
        <w:rPr>
          <w:rFonts w:ascii="Times New Roman" w:hAnsi="Times New Roman"/>
        </w:rPr>
        <w:t>Trong tài liệu CWE_taxonomy.md, sinh viên đã tổng hợp các CWE ứng viên cụ thể cho từng nhóm (ví dụ: Nhóm 6 gồm CWE-862 Missing Authorization và CWE-639 IDOR/BOLA). Kính xin Cô xem xét và cho ý kiến về tính đại diện của các CWE ứng viên này để chốt danh mục CWE làm chuẩn cho bộ dữ liệu.</w:t>
      </w:r>
    </w:p>
    <w:p>
      <w:pPr>
        <w:pStyle w:val="ListBullet"/>
        <w:spacing w:after="60" w:line="276" w:lineRule="auto"/>
        <w:jc w:val="both"/>
      </w:pPr>
      <w:r>
        <w:rPr>
          <w:rFonts w:ascii="Times New Roman" w:hAnsi="Times New Roman"/>
          <w:b/>
        </w:rPr>
        <w:t xml:space="preserve">3. Chiến lược biểu diễn đa nhãn CWE (Single vs. Multi-label): </w:t>
      </w:r>
      <w:r>
        <w:rPr>
          <w:rFonts w:ascii="Times New Roman" w:hAnsi="Times New Roman"/>
        </w:rPr>
        <w:t>Trong thực tế, một ca lỗi bảo mật có thể liên quan đến nhiều CWE (ví dụ: kiểm tra đầu vào lỏng lẻo dẫn đến SQLi). Sinh viên đề xuất: cho phép tối đa 3 CWE cho ca phức tạp, nhưng nếu cơ chế chấm điểm đa nhãn quá phức tạp thì sẽ quy về 1 nhãn CWE chính duy nhất. Kính xin Cô định hướng về việc nên duy trì đa nhãn hay tinh gọn về đơn nhãn để bảo đảm tính khả thi khi đánh giá?</w:t>
      </w:r>
    </w:p>
    <w:p>
      <w:pPr>
        <w:pStyle w:val="ListBullet"/>
        <w:spacing w:after="60" w:line="276" w:lineRule="auto"/>
        <w:jc w:val="both"/>
      </w:pPr>
      <w:r>
        <w:rPr>
          <w:rFonts w:ascii="Times New Roman" w:hAnsi="Times New Roman"/>
          <w:b/>
        </w:rPr>
        <w:t xml:space="preserve">4. Dung sai vị trí dòng phát hiện (Location Matching Tolerance): </w:t>
      </w:r>
      <w:r>
        <w:rPr>
          <w:rFonts w:ascii="Times New Roman" w:hAnsi="Times New Roman"/>
        </w:rPr>
        <w:t>Trong code review tự động, mô hình LLM hoặc công cụ tĩnh có thể chỉ ra dòng bắt đầu hàm hoặc dòng gán biến cách dòng lỗi thực tế vài dòng. Sinh viên đề xuất quy tắc khớp vị trí cho phép dung sai dòng (hiện đang đề xuất mặc định là ±10 dòng, có phương án ±5 dòng) và sẽ chốt cố định trước khi chạy thực nghiệm. Kính xin Cô cho ý kiến về mức dung sai hợp lý trong nghiên cứu khoa học đối với bài toán này.</w:t>
      </w:r>
    </w:p>
    <w:p>
      <w:pPr>
        <w:pStyle w:val="ListBullet"/>
        <w:spacing w:after="60" w:line="276" w:lineRule="auto"/>
        <w:jc w:val="both"/>
      </w:pPr>
      <w:r>
        <w:rPr>
          <w:rFonts w:ascii="Times New Roman" w:hAnsi="Times New Roman"/>
          <w:b/>
        </w:rPr>
        <w:t xml:space="preserve">5. Xác nhận quy tắc khớp True Positive tổng thể: </w:t>
      </w:r>
      <w:r>
        <w:rPr>
          <w:rFonts w:ascii="Times New Roman" w:hAnsi="Times New Roman"/>
        </w:rPr>
        <w:t>Quy tắc phát hiện đúng (TP) được đề xuất phải thỏa mãn 3 điều kiện đồng thời: khớp tệp, khớp nhóm/CWE (hoặc tập CWE thay thế khai báo trước), và khớp vị trí trong dung sai; đồng thời áp dụng nguyên tắc khớp 1-to-1 (các dự đoán dư thừa trên cùng PR bị tính là False Positive). Kính xin Cô xác nhận tính chặt chẽ của quy tắc này.</w:t>
      </w:r>
    </w:p>
    <w:p>
      <w:pPr>
        <w:pStyle w:val="ListBullet"/>
        <w:spacing w:after="60" w:line="276" w:lineRule="auto"/>
        <w:jc w:val="both"/>
      </w:pPr>
      <w:r>
        <w:rPr>
          <w:rFonts w:ascii="Times New Roman" w:hAnsi="Times New Roman"/>
          <w:b/>
        </w:rPr>
        <w:t xml:space="preserve">6. Nguyên tắc cân bằng bộ dữ liệu (Dataset Balance Rule): </w:t>
      </w:r>
      <w:r>
        <w:rPr>
          <w:rFonts w:ascii="Times New Roman" w:hAnsi="Times New Roman"/>
        </w:rPr>
        <w:t>Sinh viên đề xuất quy tắc giữ độ lệch số lượng ca kiểm thử giữa các nhóm lỗi không quá 10 ca (với tổng quy mô tối thiểu 100 ca) để tránh việc một nhóm lỗi chiếm áp đảo làm sai lệch kết quả đánh giá. Kính xin ý kiến Cô về tính phù hợp của quy tắc cân bằng này.</w:t>
      </w:r>
    </w:p>
    <w:p>
      <w:pPr>
        <w:pStyle w:val="ListBullet"/>
        <w:spacing w:after="60" w:line="276" w:lineRule="auto"/>
        <w:jc w:val="both"/>
      </w:pPr>
      <w:r>
        <w:rPr>
          <w:rFonts w:ascii="Times New Roman" w:hAnsi="Times New Roman"/>
          <w:b/>
        </w:rPr>
        <w:t xml:space="preserve">7. Bản chất của chỉ số mục tiêu Precision &gt;= 75% và Recall &gt;= 60%: </w:t>
      </w:r>
      <w:r>
        <w:rPr>
          <w:rFonts w:ascii="Times New Roman" w:hAnsi="Times New Roman"/>
        </w:rPr>
        <w:t>Sinh viên đã làm rõ rằng các con số 75% và 60% đóng vai trò là giả thuyết nghiên cứu / mục tiêu phấn đấu để so sánh hiệu quả giữa 4 cấu hình A/B/C/D, chứ không phải điều kiện pass/fail cứng để nghiệm thu hệ thống phần mềm. Kính xin Cô xác nhận cách tiếp cận thực nghiệm này.</w:t>
      </w:r>
    </w:p>
    <w:p>
      <w:pPr>
        <w:keepNext/>
        <w:spacing w:before="280" w:after="120"/>
      </w:pPr>
      <w:r>
        <w:rPr>
          <w:rFonts w:ascii="Times New Roman" w:hAnsi="Times New Roman"/>
          <w:b/>
          <w:color w:val="183C6C"/>
          <w:sz w:val="28"/>
        </w:rPr>
        <w:t>8. Kế hoạch triển khai giai đoạn Tuần 3–4</w:t>
      </w:r>
    </w:p>
    <w:p>
      <w:pPr>
        <w:spacing w:after="80" w:line="288" w:lineRule="auto"/>
        <w:jc w:val="both"/>
      </w:pPr>
      <w:r>
        <w:rPr>
          <w:rFonts w:ascii="Times New Roman" w:hAnsi="Times New Roman"/>
        </w:rPr>
        <w:t>Kế hoạch triển khai trong hai tuần tiếp theo (Tuần 3–4, dự kiến từ 21/09/2026 đến 04/10/2026) bám sát theo tiến độ tổng thể của khóa luận, tập trung vào hai mảng công việc chính:</w:t>
      </w:r>
    </w:p>
    <w:p>
      <w:pPr>
        <w:keepNext/>
        <w:spacing w:before="200" w:after="80"/>
      </w:pPr>
      <w:r>
        <w:rPr>
          <w:rFonts w:ascii="Times New Roman" w:hAnsi="Times New Roman"/>
          <w:b/>
          <w:color w:val="296299"/>
          <w:sz w:val="25"/>
        </w:rPr>
        <w:t>8.1 Hoàn thiện phương pháp luận &amp; Thiết kế kiến trúc phần mềm chi tiết</w:t>
      </w:r>
    </w:p>
    <w:p>
      <w:pPr>
        <w:pStyle w:val="ListBullet"/>
        <w:spacing w:after="60" w:line="276" w:lineRule="auto"/>
        <w:jc w:val="both"/>
      </w:pPr>
      <w:r>
        <w:rPr>
          <w:rFonts w:ascii="Times New Roman" w:hAnsi="Times New Roman"/>
          <w:b/>
        </w:rPr>
        <w:t xml:space="preserve">Tiếp nhận phản hồi từ GVHD: </w:t>
      </w:r>
      <w:r>
        <w:rPr>
          <w:rFonts w:ascii="Times New Roman" w:hAnsi="Times New Roman"/>
        </w:rPr>
        <w:t>Tiếp thu các ý kiến góp ý, chỉ đạo của Giảng viên hướng dẫn đối với 7 vấn đề mở ở Mục 7; tiến hành cập nhật và đóng băng (freeze) tài liệu Yêu cầu phần mềm và Tài liệu Thiết kế Benchmark.</w:t>
      </w:r>
    </w:p>
    <w:p>
      <w:pPr>
        <w:pStyle w:val="ListBullet"/>
        <w:spacing w:after="60" w:line="276" w:lineRule="auto"/>
        <w:jc w:val="both"/>
      </w:pPr>
      <w:r>
        <w:rPr>
          <w:rFonts w:ascii="Times New Roman" w:hAnsi="Times New Roman"/>
          <w:b/>
        </w:rPr>
        <w:t xml:space="preserve">Thiết kế kiến trúc hệ thống chi tiết: </w:t>
      </w:r>
      <w:r>
        <w:rPr>
          <w:rFonts w:ascii="Times New Roman" w:hAnsi="Times New Roman"/>
        </w:rPr>
        <w:t>Xây dựng tài liệu thiết kế kiến trúc phần mềm (Software Architecture Document): Đặc tả chi tiết các mô-đun cốt lõi: PR Intake &amp; Git Diff Parser, Static Analysis Engine Runner (Ruff/Semgrep), Giao diện trừu tượng LLM Client, Mô-đun trích xuất ngữ cảnh Code Graph / Repo RAG, và Bộ tổng hợp khử trùng lặp cảnh báo (Finding Aggregator).</w:t>
      </w:r>
    </w:p>
    <w:p>
      <w:pPr>
        <w:pStyle w:val="ListBullet"/>
        <w:spacing w:after="60" w:line="276" w:lineRule="auto"/>
        <w:jc w:val="both"/>
      </w:pPr>
      <w:r>
        <w:rPr>
          <w:rFonts w:ascii="Times New Roman" w:hAnsi="Times New Roman"/>
          <w:b/>
        </w:rPr>
        <w:t xml:space="preserve">Chuẩn bị hạ tầng phát triển: </w:t>
      </w:r>
      <w:r>
        <w:rPr>
          <w:rFonts w:ascii="Times New Roman" w:hAnsi="Times New Roman"/>
        </w:rPr>
        <w:t>Cấu hình môi trường chạy cục bộ bằng Docker Compose (PostgreSQL tích hợp pgvector, Redis message queue nếu cần) phục vụ lưu trữ phiên kiểm toán và biểu diễn vector.</w:t>
      </w:r>
    </w:p>
    <w:p>
      <w:pPr>
        <w:keepNext/>
        <w:spacing w:before="200" w:after="80"/>
      </w:pPr>
      <w:r>
        <w:rPr>
          <w:rFonts w:ascii="Times New Roman" w:hAnsi="Times New Roman"/>
          <w:b/>
          <w:color w:val="296299"/>
          <w:sz w:val="25"/>
        </w:rPr>
        <w:t>8.2 Bắt đầu thu thập dữ liệu &amp; Kiểm chứng công cụ thu hoạch benchmark</w:t>
      </w:r>
    </w:p>
    <w:p>
      <w:pPr>
        <w:pStyle w:val="ListBullet"/>
        <w:spacing w:after="60" w:line="276" w:lineRule="auto"/>
        <w:jc w:val="both"/>
      </w:pPr>
      <w:r>
        <w:rPr>
          <w:rFonts w:ascii="Times New Roman" w:hAnsi="Times New Roman"/>
          <w:b/>
        </w:rPr>
        <w:t xml:space="preserve">Phát triển công cụ trích xuất metadata: </w:t>
      </w:r>
      <w:r>
        <w:rPr>
          <w:rFonts w:ascii="Times New Roman" w:hAnsi="Times New Roman"/>
        </w:rPr>
        <w:t>Phát triển kịch bản Python tự động hóa việc khai thác thông tin Pull Request từ GitHub REST API / GraphQL API và ánh xạ vào lược đồ 16 trường metadata.</w:t>
      </w:r>
    </w:p>
    <w:p>
      <w:pPr>
        <w:pStyle w:val="ListBullet"/>
        <w:spacing w:after="60" w:line="276" w:lineRule="auto"/>
        <w:jc w:val="both"/>
      </w:pPr>
      <w:r>
        <w:rPr>
          <w:rFonts w:ascii="Times New Roman" w:hAnsi="Times New Roman"/>
          <w:b/>
        </w:rPr>
        <w:t xml:space="preserve">Thiết lập harness kiểm chứng Ground Truth: </w:t>
      </w:r>
      <w:r>
        <w:rPr>
          <w:rFonts w:ascii="Times New Roman" w:hAnsi="Times New Roman"/>
        </w:rPr>
        <w:t>Thiết lập harness kiểm thử tự động (sử dụng pytest và môi trường ảo uv cô lập) để thẩm định chuỗi bằng chứng Ground Truth: bảo đảm test tái hiện thất bại ở commit lỗi và vượt qua thành công ở commit đã sửa.</w:t>
      </w:r>
    </w:p>
    <w:p>
      <w:pPr>
        <w:pStyle w:val="ListBullet"/>
        <w:spacing w:after="60" w:line="276" w:lineRule="auto"/>
        <w:jc w:val="both"/>
      </w:pPr>
      <w:r>
        <w:rPr>
          <w:rFonts w:ascii="Times New Roman" w:hAnsi="Times New Roman"/>
          <w:b/>
        </w:rPr>
        <w:t xml:space="preserve">Thực hiện đợt thu hoạch thử nghiệm (Pilot Batch): </w:t>
      </w:r>
      <w:r>
        <w:rPr>
          <w:rFonts w:ascii="Times New Roman" w:hAnsi="Times New Roman"/>
        </w:rPr>
        <w:t>Tiến hành thu thập đợt thử nghiệm đầu tiên (Pilot Batch) gồm 10 ca kiểm thử (5 ca có lỗi thuộc các nhóm khác nhau và 5 ca sạch) nhằm kiểm chứng thực tế tính khả thi của kịch bản trích xuất và quy trình thẩm định.</w:t>
      </w:r>
    </w:p>
    <w:p>
      <w:pPr>
        <w:keepNext/>
        <w:spacing w:before="280" w:after="120"/>
      </w:pPr>
      <w:r>
        <w:rPr>
          <w:rFonts w:ascii="Times New Roman" w:hAnsi="Times New Roman"/>
          <w:b/>
          <w:color w:val="183C6C"/>
          <w:sz w:val="28"/>
        </w:rPr>
        <w:t>9. Đánh giá tiến độ hiện tại</w:t>
      </w:r>
    </w:p>
    <w:p>
      <w:pPr>
        <w:spacing w:after="80" w:line="288" w:lineRule="auto"/>
        <w:jc w:val="both"/>
      </w:pPr>
      <w:r>
        <w:rPr>
          <w:rFonts w:ascii="Times New Roman" w:hAnsi="Times New Roman"/>
        </w:rPr>
        <w:t>Dựa trên các mục tiêu đã đề ra cho giai đoạn Tuần 1–2, tiến độ hiện tại của đề tài được đánh giá là ĐẠT YÊU CẦU ĐỀ RA. Bảng tự đánh giá trạng thái các hạng mục công việc được tổng hợp như sau:</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06"/>
        <w:gridCol w:w="3106"/>
        <w:gridCol w:w="3106"/>
      </w:tblGrid>
      <w:tr>
        <w:tc>
          <w:tcPr>
            <w:tcW w:type="dxa" w:w="3600"/>
            <w:shd w:fill="EBF1F5"/>
            <w:tcMar>
              <w:top w:w="120" w:type="dxa"/>
              <w:bottom w:w="120" w:type="dxa"/>
              <w:left w:w="100" w:type="dxa"/>
              <w:right w:w="100" w:type="dxa"/>
            </w:tcMar>
          </w:tcPr>
          <w:p>
            <w:pPr>
              <w:jc w:val="center"/>
            </w:pPr>
            <w:r>
              <w:rPr>
                <w:rFonts w:ascii="Times New Roman" w:hAnsi="Times New Roman"/>
                <w:b/>
                <w:color w:val="183C6C"/>
                <w:sz w:val="22"/>
              </w:rPr>
              <w:t>Hạng mục công việc</w:t>
            </w:r>
          </w:p>
        </w:tc>
        <w:tc>
          <w:tcPr>
            <w:tcW w:type="dxa" w:w="4320"/>
            <w:shd w:fill="EBF1F5"/>
            <w:tcMar>
              <w:top w:w="120" w:type="dxa"/>
              <w:bottom w:w="120" w:type="dxa"/>
              <w:left w:w="100" w:type="dxa"/>
              <w:right w:w="100" w:type="dxa"/>
            </w:tcMar>
          </w:tcPr>
          <w:p>
            <w:pPr>
              <w:jc w:val="center"/>
            </w:pPr>
            <w:r>
              <w:rPr>
                <w:rFonts w:ascii="Times New Roman" w:hAnsi="Times New Roman"/>
                <w:b/>
                <w:color w:val="183C6C"/>
                <w:sz w:val="22"/>
              </w:rPr>
              <w:t>Kết quả đạt được</w:t>
            </w:r>
          </w:p>
        </w:tc>
        <w:tc>
          <w:tcPr>
            <w:tcW w:type="dxa" w:w="2261"/>
            <w:shd w:fill="EBF1F5"/>
            <w:tcMar>
              <w:top w:w="120" w:type="dxa"/>
              <w:bottom w:w="120" w:type="dxa"/>
              <w:left w:w="100" w:type="dxa"/>
              <w:right w:w="100" w:type="dxa"/>
            </w:tcMar>
          </w:tcPr>
          <w:p>
            <w:pPr>
              <w:jc w:val="center"/>
            </w:pPr>
            <w:r>
              <w:rPr>
                <w:rFonts w:ascii="Times New Roman" w:hAnsi="Times New Roman"/>
                <w:b/>
                <w:color w:val="183C6C"/>
                <w:sz w:val="22"/>
              </w:rPr>
              <w:t>Đánh giá trạng thái</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Xác lập phạm vi đề tài &amp; định hướng đóng góp</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Đã thống nhất 3 trụ cột và phạm vi Core MVP theo email xác nhận của GVHD.</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Khảo sát công cụ phân tích tĩnh &amp; CI/CD (R1)</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báo cáo R1, kiểm toán trích dẫn khoa học đầy đủ.</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Khảo sát ngữ cảnh cấp kho &amp; Repo RAG (R2)</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báo cáo R2, đã kiểm toán và đính chính các lỗi trích dẫn.</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Nghiên cứu phân loại lỗi &amp; ánh xạ CWE (R3)</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báo cáo phân loại CWE, xác định ranh giới 6 nhóm lỗi.</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 dự thảo</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Soạn thảo Đặc tả Yêu cầu (Requirements)</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bản dự thảo FR-01 -&gt; FR-09, NFR-01 -&gt; NFR-06.</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 dự thảo</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Soạn thảo Thiết kế Bộ Dữ liệu (Dataset Design)</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lược đồ 16 trường, quy tắc Ground Truth, kế hoạch phân bổ.</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 dự thảo</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Đối soát tính nhất quán và truy vết tài liệu</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Hoàn thành kiểm toán, loại bỏ các cam kết áp đặt sớm.</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22703E"/>
                <w:sz w:val="21"/>
              </w:rPr>
              <w:t>Hoàn thành</w:t>
            </w:r>
          </w:p>
        </w:tc>
      </w:tr>
      <w:tr>
        <w:tc>
          <w:tcPr>
            <w:tcW w:type="dxa" w:w="3600"/>
            <w:tcMar>
              <w:top w:w="90" w:type="dxa"/>
              <w:bottom w:w="90" w:type="dxa"/>
              <w:left w:w="90" w:type="dxa"/>
              <w:right w:w="90" w:type="dxa"/>
            </w:tcMar>
          </w:tcPr>
          <w:p>
            <w:pPr>
              <w:spacing w:after="0" w:line="276" w:lineRule="auto"/>
              <w:jc w:val="left"/>
            </w:pPr>
            <w:r>
              <w:rPr>
                <w:rFonts w:ascii="Times New Roman" w:hAnsi="Times New Roman"/>
                <w:sz w:val="21"/>
              </w:rPr>
              <w:t>Thu thập bộ dữ liệu thực tế &amp; Chạy thực nghiệm</w:t>
            </w:r>
          </w:p>
        </w:tc>
        <w:tc>
          <w:tcPr>
            <w:tcW w:type="dxa" w:w="4320"/>
            <w:tcMar>
              <w:top w:w="90" w:type="dxa"/>
              <w:bottom w:w="90" w:type="dxa"/>
              <w:left w:w="90" w:type="dxa"/>
              <w:right w:w="90" w:type="dxa"/>
            </w:tcMar>
          </w:tcPr>
          <w:p>
            <w:pPr>
              <w:spacing w:after="0" w:line="276" w:lineRule="auto"/>
              <w:jc w:val="left"/>
            </w:pPr>
            <w:r>
              <w:rPr>
                <w:rFonts w:ascii="Times New Roman" w:hAnsi="Times New Roman"/>
                <w:sz w:val="21"/>
              </w:rPr>
              <w:t>Theo đúng đề cương, công việc này sẽ bắt đầu thực hiện từ Tuần 3.</w:t>
            </w:r>
          </w:p>
        </w:tc>
        <w:tc>
          <w:tcPr>
            <w:tcW w:type="dxa" w:w="2261"/>
            <w:tcMar>
              <w:top w:w="90" w:type="dxa"/>
              <w:bottom w:w="90" w:type="dxa"/>
              <w:left w:w="90" w:type="dxa"/>
              <w:right w:w="90" w:type="dxa"/>
            </w:tcMar>
          </w:tcPr>
          <w:p>
            <w:pPr>
              <w:spacing w:after="0" w:line="276" w:lineRule="auto"/>
              <w:jc w:val="center"/>
            </w:pPr>
            <w:r>
              <w:rPr>
                <w:rFonts w:ascii="Times New Roman" w:hAnsi="Times New Roman"/>
                <w:b/>
                <w:color w:val="787878"/>
                <w:sz w:val="21"/>
              </w:rPr>
              <w:t>Chưa thực hiện (Đúng kế hoạch)</w:t>
            </w:r>
          </w:p>
        </w:tc>
      </w:tr>
    </w:tbl>
    <w:p>
      <w:pPr>
        <w:spacing w:after="160"/>
      </w:pPr>
    </w:p>
    <w:tbl>
      <w:tblPr>
        <w:tblW w:type="auto" w:w="0"/>
        <w:jc w:val="center"/>
        <w:tblLook w:firstColumn="1" w:firstRow="1" w:lastColumn="0" w:lastRow="0" w:noHBand="0" w:noVBand="1" w:val="04A0"/>
      </w:tblPr>
      <w:tblGrid>
        <w:gridCol w:w="9317"/>
      </w:tblGrid>
      <w:tr>
        <w:tc>
          <w:tcPr>
            <w:tcW w:type="dxa" w:w="9317"/>
            <w:shd w:fill="F2F5F9"/>
            <w:tcMar>
              <w:top w:w="140" w:type="dxa"/>
              <w:bottom w:w="140" w:type="dxa"/>
              <w:left w:w="200" w:type="dxa"/>
              <w:right w:w="200" w:type="dxa"/>
            </w:tcMar>
            <w:tcBorders>
              <w:left w:val="single" w:sz="24" w:space="0" w:color="1F4E79"/>
              <w:top w:val="none"/>
              <w:right w:val="none"/>
              <w:bottom w:val="none"/>
            </w:tcBorders>
          </w:tcPr>
          <w:p>
            <w:pPr>
              <w:spacing w:after="40" w:line="288" w:lineRule="auto"/>
            </w:pPr>
            <w:r>
              <w:rPr>
                <w:rFonts w:ascii="Times New Roman" w:hAnsi="Times New Roman"/>
                <w:b/>
                <w:color w:val="183C6C"/>
              </w:rPr>
              <w:t xml:space="preserve">TỔNG KẾT TIẾN ĐỘ: </w:t>
            </w:r>
            <w:r>
              <w:rPr>
                <w:rFonts w:ascii="Times New Roman" w:hAnsi="Times New Roman"/>
                <w:sz w:val="23"/>
              </w:rPr>
              <w:t>Nhận định tiến độ: Giai đoạn Tuần 1–2 đã hoàn thành 100% các mục tiêu nghiên cứu tiền đề, thiết lập tài liệu đặc tả và phương pháp luận. Bộ dữ liệu benchmark hiện đang ở giai đoạn thiết kế khung phương pháp, hoàn toàn chưa bước vào thu thập hay thử nghiệm đo lường thực tế, phù hợp đúng với tiến độ phân bổ trong đề cương khóa luận 16 tuần.</w:t>
            </w:r>
          </w:p>
        </w:tc>
      </w:tr>
    </w:tbl>
    <w:p>
      <w:pPr>
        <w:spacing w:after="40"/>
      </w:pPr>
    </w:p>
    <w:p>
      <w:pPr>
        <w:keepNext/>
        <w:spacing w:before="280" w:after="120"/>
      </w:pPr>
      <w:r>
        <w:rPr>
          <w:rFonts w:ascii="Times New Roman" w:hAnsi="Times New Roman"/>
          <w:b/>
          <w:color w:val="183C6C"/>
          <w:sz w:val="28"/>
        </w:rPr>
        <w:t>10. Kết luận</w:t>
      </w:r>
    </w:p>
    <w:p>
      <w:pPr>
        <w:spacing w:after="80" w:line="288" w:lineRule="auto"/>
        <w:jc w:val="both"/>
      </w:pPr>
      <w:r>
        <w:rPr>
          <w:rFonts w:ascii="Times New Roman" w:hAnsi="Times New Roman"/>
        </w:rPr>
        <w:t>Sau hai tuần làm việc đầu tiên, đề tài 'Hệ thống review mã nguồn và phát hiện lỗi tự động (AI Code Auditor)' đã hoàn thành toàn bộ khối lượng công việc nghiên cứu cơ sở, thiết lập tài liệu và định hình phương pháp luận khoa học. Những kết quả then chốt đạt được bao gồm:</w:t>
      </w:r>
    </w:p>
    <w:p>
      <w:pPr>
        <w:pStyle w:val="ListBullet"/>
        <w:spacing w:after="60" w:line="276" w:lineRule="auto"/>
        <w:jc w:val="both"/>
      </w:pPr>
      <w:r>
        <w:rPr>
          <w:rFonts w:ascii="Times New Roman" w:hAnsi="Times New Roman"/>
          <w:b/>
        </w:rPr>
        <w:t xml:space="preserve">1. Xác lập vững chắc định hướng đề tài: </w:t>
      </w:r>
      <w:r>
        <w:rPr>
          <w:rFonts w:ascii="Times New Roman" w:hAnsi="Times New Roman"/>
        </w:rPr>
        <w:t>Phạm vi cốt lõi (Core MVP) và ba trụ cột đóng góp khoa học (Hybrid Audit, Repo-level Context, Quantitative Evaluation) đã được xác nhận rõ ràng dựa trên chỉ đạo của Giảng viên hướng dẫn, tạo kim chỉ nam vững chắc cho toàn bộ đề tài.</w:t>
      </w:r>
    </w:p>
    <w:p>
      <w:pPr>
        <w:pStyle w:val="ListBullet"/>
        <w:spacing w:after="60" w:line="276" w:lineRule="auto"/>
        <w:jc w:val="both"/>
      </w:pPr>
      <w:r>
        <w:rPr>
          <w:rFonts w:ascii="Times New Roman" w:hAnsi="Times New Roman"/>
          <w:b/>
        </w:rPr>
        <w:t xml:space="preserve">2. Nền tảng kỹ thuật và học thuật rõ ràng: </w:t>
      </w:r>
      <w:r>
        <w:rPr>
          <w:rFonts w:ascii="Times New Roman" w:hAnsi="Times New Roman"/>
        </w:rPr>
        <w:t>Các báo cáo nghiên cứu chuyên sâu về phân tích tĩnh (R1), ngữ cảnh cấp kho (R2) và phân loại lỗi CWE (R3) đã cung cấp cơ sở lý thuyết và công nghệ vững vàng, đồng thời trải qua quá trình kiểm toán trích dẫn khoa học nghiêm ngặt.</w:t>
      </w:r>
    </w:p>
    <w:p>
      <w:pPr>
        <w:pStyle w:val="ListBullet"/>
        <w:spacing w:after="60" w:line="276" w:lineRule="auto"/>
        <w:jc w:val="both"/>
      </w:pPr>
      <w:r>
        <w:rPr>
          <w:rFonts w:ascii="Times New Roman" w:hAnsi="Times New Roman"/>
          <w:b/>
        </w:rPr>
        <w:t xml:space="preserve">3. Hoàn thiện các tài liệu đặc tả ban đầu: </w:t>
      </w:r>
      <w:r>
        <w:rPr>
          <w:rFonts w:ascii="Times New Roman" w:hAnsi="Times New Roman"/>
        </w:rPr>
        <w:t>Hai tài liệu đầu ra quan trọng của Tuần 1–2 là Bản Đặc tả Yêu cầu Kỹ thuật và Bản Thiết kế Bộ Dữ liệu Benchmark đã được soạn thảo chi tiết, kiểm toán đối soát tính nhất quán và hoàn toàn sẵn sàng cho bước triển khai tiếp theo.</w:t>
      </w:r>
    </w:p>
    <w:p>
      <w:pPr>
        <w:pStyle w:val="ListBullet"/>
        <w:spacing w:after="60" w:line="276" w:lineRule="auto"/>
        <w:jc w:val="both"/>
      </w:pPr>
      <w:r>
        <w:rPr>
          <w:rFonts w:ascii="Times New Roman" w:hAnsi="Times New Roman"/>
          <w:b/>
        </w:rPr>
        <w:t xml:space="preserve">4. Kỷ luật nghiên cứu và tính trung thực học thuật: </w:t>
      </w:r>
      <w:r>
        <w:rPr>
          <w:rFonts w:ascii="Times New Roman" w:hAnsi="Times New Roman"/>
        </w:rPr>
        <w:t>Sinh viên chủ động duy trì kỷ luật học thuật cao: phân định rõ ràng giữa định hướng đã được phê duyệt và các đề xuất phương pháp làm việc; tuyệt đối không đưa ra các số liệu đo lường hay kết quả thử nghiệm giả định khi chưa tiến hành thực nghiệm thực tế.</w:t>
      </w:r>
    </w:p>
    <w:p>
      <w:pPr>
        <w:spacing w:after="80" w:line="288" w:lineRule="auto"/>
        <w:jc w:val="both"/>
      </w:pPr>
      <w:r>
        <w:rPr>
          <w:rFonts w:ascii="Times New Roman" w:hAnsi="Times New Roman"/>
        </w:rPr>
        <w:t>Sinh viên kính mong nhận được các ý kiến nhận xét, góp ý và chỉ đạo quý báu từ Giảng viên hướng dẫn ThS. Trần Thị Hồng Yến đối với các nội dung đã thực hiện và 7 vấn đề mở được trình bày trong báo cáo, giúp sinh viên hoàn thiện phương pháp luận và tự tin triển khai hiệu quả các công việc của giai đoạn Tuần 3–4.</w:t>
      </w:r>
    </w:p>
    <w:p>
      <w:pPr>
        <w:spacing w:after="280"/>
      </w:pPr>
    </w:p>
    <w:tbl>
      <w:tblPr>
        <w:tblW w:type="auto" w:w="0"/>
        <w:jc w:val="center"/>
        <w:tblLook w:firstColumn="1" w:firstRow="1" w:lastColumn="0" w:lastRow="0" w:noHBand="0" w:noVBand="1" w:val="04A0"/>
      </w:tblPr>
      <w:tblGrid>
        <w:gridCol w:w="4658"/>
        <w:gridCol w:w="4658"/>
      </w:tblGrid>
      <w:tr>
        <w:tc>
          <w:tcPr>
            <w:tcW w:type="dxa" w:w="4608"/>
          </w:tcPr>
          <w:p>
            <w:pPr>
              <w:jc w:val="center"/>
            </w:pPr>
            <w:r>
              <w:rPr>
                <w:rFonts w:ascii="Times New Roman" w:hAnsi="Times New Roman"/>
                <w:b/>
                <w:sz w:val="22"/>
              </w:rPr>
              <w:t>Ý KIẾN CỦA GIẢNG VIÊN HƯỚNG DẪN</w:t>
              <w:br/>
            </w:r>
            <w:r>
              <w:rPr>
                <w:rFonts w:ascii="Times New Roman" w:hAnsi="Times New Roman"/>
                <w:i/>
                <w:sz w:val="20"/>
              </w:rPr>
              <w:t>(Ký và ghi rõ họ tên)</w:t>
            </w:r>
          </w:p>
        </w:tc>
        <w:tc>
          <w:tcPr>
            <w:tcW w:type="dxa" w:w="4709"/>
          </w:tcPr>
          <w:p>
            <w:pPr>
              <w:jc w:val="center"/>
            </w:pPr>
            <w:r>
              <w:rPr>
                <w:rFonts w:ascii="Times New Roman" w:hAnsi="Times New Roman"/>
                <w:b/>
                <w:sz w:val="22"/>
              </w:rPr>
              <w:t>Tp. Hồ Chí Minh, ngày 25 tháng 09 năm 2026</w:t>
              <w:br/>
              <w:t>SINH VIÊN THỰC HIỆN</w:t>
              <w:br/>
              <w:br/>
              <w:br/>
              <w:br/>
            </w:r>
            <w:r>
              <w:rPr>
                <w:rFonts w:ascii="Times New Roman" w:hAnsi="Times New Roman"/>
                <w:b/>
                <w:sz w:val="22"/>
              </w:rPr>
              <w:t>BÙI VĂN KHẢI</w:t>
            </w:r>
          </w:p>
        </w:tc>
      </w:tr>
    </w:tbl>
    <w:sectPr w:rsidR="00FC693F" w:rsidRPr="0006063C" w:rsidSect="00034616">
      <w:headerReference w:type="default" r:id="rId9"/>
      <w:footerReference w:type="default" r:id="rId10"/>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9"/>
      </w:rPr>
      <w:t xml:space="preserve">Trang </w:t>
      <w:fldChar w:fldCharType="begin"/>
      <w:instrText xml:space="preserve"> PAGE </w:instrText>
      <w:fldChar w:fldCharType="separate"/>
      <w:fldChar w:fldCharType="end"/>
    </w:r>
    <w:r>
      <w:rPr>
        <w:rFonts w:ascii="Times New Roman" w:hAnsi="Times New Roman"/>
        <w:color w:val="787878"/>
        <w:sz w:val="19"/>
      </w:rPr>
      <w:t xml:space="preserve"> /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Khóa luận Tốt nghiệp: AI Code Auditor | Báo cáo Tiến độ Tuần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jc w:val="both"/>
    </w:pPr>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