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bstract"/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 w:val="0"/>
          <w:sz w:val="24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Cross-Sector Correlation Regimes and Their Impact on the Predictive Accuracy of Equity Price Forecasting Models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 w:val="0"/>
          <w:sz w:val="24"/>
        </w:rPr>
        <w:t>Aarav Vaidha</w:t>
      </w:r>
      <w:r>
        <w:rPr>
          <w:rFonts w:ascii="Times New Roman" w:hAnsi="Times New Roman"/>
          <w:sz w:val="24"/>
          <w:vertAlign w:val="superscript"/>
        </w:rPr>
        <w:t>1</w:t>
      </w:r>
    </w:p>
    <w:p>
      <w:pPr>
        <w:spacing w:line="240" w:lineRule="auto" w:after="0"/>
        <w:ind w:firstLine="0"/>
        <w:jc w:val="center"/>
      </w:pPr>
      <w:r>
        <w:rPr>
          <w:rFonts w:ascii="Times New Roman" w:hAnsi="Times New Roman"/>
          <w:b/>
          <w:sz w:val="24"/>
        </w:rPr>
        <w:t>Guidance from [Mentor / Advisor]</w:t>
      </w: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</w:p>
    <w:p>
      <w:pPr>
        <w:spacing w:line="240" w:lineRule="auto" w:after="0"/>
        <w:ind w:firstLine="0"/>
        <w:jc w:val="left"/>
      </w:pPr>
      <w:r>
        <w:rPr>
          <w:rFonts w:ascii="Times New Roman" w:hAnsi="Times New Roman"/>
          <w:b/>
          <w:sz w:val="24"/>
        </w:rPr>
        <w:t xml:space="preserve">Keywords: </w:t>
      </w:r>
      <w:r>
        <w:rPr>
          <w:rFonts w:ascii="Times New Roman" w:hAnsi="Times New Roman"/>
          <w:sz w:val="24"/>
        </w:rPr>
        <w:t>cross-sector correlation, realized volatility, regime analysis, out-of-sample forecasting, return predictability, volatility confound, Newey–West standard errors</w:t>
      </w:r>
    </w:p>
    <w:p>
      <w:pPr>
        <w:spacing w:line="240" w:lineRule="auto" w:after="0"/>
        <w:ind w:firstLine="0"/>
        <w:jc w:val="left"/>
      </w:pPr>
      <w:r>
        <w:br w:type="page"/>
      </w:r>
    </w:p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study asks whether the accuracy of short-horizon equity price forecasting</w:t>
      </w:r>
      <w:r>
        <w:t xml:space="preserve"> </w:t>
      </w:r>
      <w:r>
        <w:t xml:space="preserve">models depends on the prevailing cross-sector correlation regime, and — crucially</w:t>
      </w:r>
      <w:r>
        <w:t xml:space="preserve"> </w:t>
      </w:r>
      <w:r>
        <w:t xml:space="preserve">— whether any such dependence survives once market volatility is controlled for.</w:t>
      </w:r>
      <w:r>
        <w:t xml:space="preserve"> </w:t>
      </w:r>
      <w:r>
        <w:t xml:space="preserve">Using more than eleven years of daily data for four S&amp;P 500 sector ETFs</w:t>
      </w:r>
      <w:r>
        <w:t xml:space="preserve"> </w:t>
      </w:r>
      <w:r>
        <w:t xml:space="preserve">(Technology, Health Care, Energy, Financials) and the broad-market SPY ETF, we</w:t>
      </w:r>
      <w:r>
        <w:t xml:space="preserve"> </w:t>
      </w:r>
      <w:r>
        <w:t xml:space="preserve">build a rolling measure of average pairwise sector correlation, classify each day</w:t>
      </w:r>
      <w:r>
        <w:t xml:space="preserve"> </w:t>
      </w:r>
      <w:r>
        <w:t xml:space="preserve">into a high-, low-, or mid-correlation regime by quartiles, and evaluate five</w:t>
      </w:r>
      <w:r>
        <w:t xml:space="preserve"> </w:t>
      </w:r>
      <w:r>
        <w:t xml:space="preserve">one-step-ahead forecasting models (a naive random walk, an AR(1), a linear</w:t>
      </w:r>
      <w:r>
        <w:t xml:space="preserve"> </w:t>
      </w:r>
      <w:r>
        <w:t xml:space="preserve">regression on lagged returns, and Ridge and Lasso regressions) in a strict</w:t>
      </w:r>
      <w:r>
        <w:t xml:space="preserve"> </w:t>
      </w:r>
      <w:r>
        <w:t xml:space="preserve">walk-forward, out-of-sample design.</w:t>
      </w:r>
    </w:p>
    <w:p>
      <w:pPr>
        <w:pStyle w:val="BodyText"/>
      </w:pPr>
      <w:r>
        <w:t xml:space="preserve">We find a strong</w:t>
      </w:r>
      <w:r>
        <w:t xml:space="preserve"> </w:t>
      </w:r>
      <w:r>
        <w:rPr>
          <w:b/>
          <w:bCs/>
        </w:rPr>
        <w:t xml:space="preserve">descriptive</w:t>
      </w:r>
      <w:r>
        <w:t xml:space="preserve"> </w:t>
      </w:r>
      <w:r>
        <w:t xml:space="preserve">result: absolute return-forecast errors are</w:t>
      </w:r>
      <w:r>
        <w:t xml:space="preserve"> </w:t>
      </w:r>
      <w:r>
        <w:t xml:space="preserve">roughly 58–62% larger in high-correlation regimes than in low-correlation</w:t>
      </w:r>
      <w:r>
        <w:t xml:space="preserve"> </w:t>
      </w:r>
      <w:r>
        <w:t xml:space="preserve">regimes, and both parametric and non-parametric tests reject the hypothesis that</w:t>
      </w:r>
      <w:r>
        <w:t xml:space="preserve"> </w:t>
      </w:r>
      <w:r>
        <w:t xml:space="preserve">accuracy is independent of the correlation regime (p ≪ 0.001 for every model).</w:t>
      </w:r>
      <w:r>
        <w:t xml:space="preserve"> </w:t>
      </w:r>
      <w:r>
        <w:rPr>
          <w:b/>
          <w:bCs/>
        </w:rPr>
        <w:t xml:space="preserve">However, this association does not represent an independent 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effect.</w:t>
      </w:r>
      <w:r>
        <w:t xml:space="preserve"> </w:t>
      </w:r>
      <w:r>
        <w:t xml:space="preserve">High correlation is collinear with high volatility in our sample</w:t>
      </w:r>
      <w:r>
        <w:t xml:space="preserve"> </w:t>
      </w:r>
      <w:r>
        <w:t xml:space="preserve">(r = 0.64). When the daily mean absolute error is regressed on both the lagged</w:t>
      </w:r>
      <w:r>
        <w:t xml:space="preserve"> </w:t>
      </w:r>
      <w:r>
        <w:t xml:space="preserve">correlation and a lagged volatility proxy (90-day realized volatility of SPY,</w:t>
      </w:r>
      <w:r>
        <w:t xml:space="preserve"> </w:t>
      </w:r>
      <w:r>
        <w:t xml:space="preserve">Newey–West standard errors), the correlation coefficient collapses from</w:t>
      </w:r>
      <w:r>
        <w:t xml:space="preserve"> </w:t>
      </w:r>
      <w:r>
        <w:t xml:space="preserve">significant (p ≈ 0.017) to indistinguishable from zero (p ≈ 0.72–0.79) and even</w:t>
      </w:r>
      <w:r>
        <w:t xml:space="preserve"> </w:t>
      </w:r>
      <w:r>
        <w:t xml:space="preserve">changes sign, while volatility remains strongly significant (p ≈ 3×10⁻⁶) and</w:t>
      </w:r>
      <w:r>
        <w:t xml:space="preserve"> </w:t>
      </w:r>
      <w:r>
        <w:t xml:space="preserve">absorbs essentially all of the explanatory power (R² essentially unchanged,</w:t>
      </w:r>
      <w:r>
        <w:t xml:space="preserve"> </w:t>
      </w:r>
      <w:r>
        <w:t xml:space="preserve">≈ 0.11–0.12 across models). A 2×2 double sort confirms this: within a fixed</w:t>
      </w:r>
      <w:r>
        <w:t xml:space="preserve"> </w:t>
      </w:r>
      <w:r>
        <w:t xml:space="preserve">volatility bucket the correlation effect is small and flips sign. The correlation</w:t>
      </w:r>
      <w:r>
        <w:t xml:space="preserve"> </w:t>
      </w:r>
      <w:r>
        <w:t xml:space="preserve">regime therefore appears to matter</w:t>
      </w:r>
      <w:r>
        <w:t xml:space="preserve"> </w:t>
      </w:r>
      <w:r>
        <w:rPr>
          <w:b/>
          <w:bCs/>
        </w:rPr>
        <w:t xml:space="preserve">only because it proxies for volatility</w:t>
      </w:r>
      <w:r>
        <w:t xml:space="preserve"> </w:t>
      </w:r>
      <w:r>
        <w:t xml:space="preserve">—</w:t>
      </w:r>
      <w:r>
        <w:t xml:space="preserve"> </w:t>
      </w:r>
      <w:r>
        <w:t xml:space="preserve">consistent with Forbes and Rigobon (2002), who show that measured correlation is</w:t>
      </w:r>
      <w:r>
        <w:t xml:space="preserve"> </w:t>
      </w:r>
      <w:r>
        <w:t xml:space="preserve">itself inflated by volatility.</w:t>
      </w:r>
    </w:p>
    <w:p>
      <w:pPr>
        <w:pStyle w:val="BodyText"/>
      </w:pPr>
      <w:r>
        <w:t xml:space="preserve">We are equally candid about the volatility half of the story. Because our models</w:t>
      </w:r>
      <w:r>
        <w:t xml:space="preserve"> </w:t>
      </w:r>
      <w:r>
        <w:t xml:space="preserve">predict returns near zero, absolute error is nearly equal to the size of the move,</w:t>
      </w:r>
      <w:r>
        <w:t xml:space="preserve"> </w:t>
      </w:r>
      <w:r>
        <w:t xml:space="preserve">so the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 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 </w:t>
      </w:r>
      <w:r>
        <w:t xml:space="preserve">rather than a</w:t>
      </w:r>
      <w:r>
        <w:t xml:space="preserve"> </w:t>
      </w:r>
      <w:r>
        <w:t xml:space="preserve">discovery. The honest test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, a scale-free metric that</w:t>
      </w:r>
      <w:r>
        <w:t xml:space="preserve"> </w:t>
      </w:r>
      <w:r>
        <w:t xml:space="preserve">does not inflate with volatility — and there we find that predictive skill is weak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cell of the double sort (45–54%, hovering near the 50% coin-flip), with</w:t>
      </w:r>
      <w:r>
        <w:t xml:space="preserve"> </w:t>
      </w:r>
      <w:r>
        <w:t xml:space="preserve">no clean ordering by either volatility or correlation. The paper’s real</w:t>
      </w:r>
      <w:r>
        <w:t xml:space="preserve"> </w:t>
      </w:r>
      <w:r>
        <w:t xml:space="preserve">contribution is therefore methodological: an effect that looks statistically</w:t>
      </w:r>
      <w:r>
        <w:t xml:space="preserve"> </w:t>
      </w:r>
      <w:r>
        <w:t xml:space="preserve">bulletproof on a scale-dependent metric (p ≪ 0.001, every model, two tests) can be</w:t>
      </w:r>
      <w:r>
        <w:t xml:space="preserve"> </w:t>
      </w:r>
      <w:r>
        <w:t xml:space="preserve">a volatility shadow, and the cure — add one lagged volatility control and read the</w:t>
      </w:r>
      <w:r>
        <w:t xml:space="preserve"> </w:t>
      </w:r>
      <w:r>
        <w:t xml:space="preserve">coefficient, then re-check on a scale-free metric — is cheap and decisive. A tiny</w:t>
      </w:r>
      <w:r>
        <w:t xml:space="preserve"> </w:t>
      </w:r>
      <w:r>
        <w:t xml:space="preserve">p-value certifies neither a real effect nor genuine forecast skill.</w:t>
      </w:r>
    </w:p>
    <w:p>
      <w:r>
        <w:pict>
          <v:rect style="width:0;height:1.5pt" o:hralign="center" o:hrstd="t" o:hr="t"/>
        </w:pict>
      </w:r>
    </w:p>
    <w:bookmarkEnd w:id="19"/>
    <w:bookmarkStart w:id="2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A recurring theme in empirical finance is that the statistical structure of</w:t>
      </w:r>
      <w:r>
        <w:t xml:space="preserve"> </w:t>
      </w:r>
      <w:r>
        <w:t xml:space="preserve">markets is not constant — it shifts between regimes (Hamilton, 1989). One of the</w:t>
      </w:r>
      <w:r>
        <w:t xml:space="preserve"> </w:t>
      </w:r>
      <w:r>
        <w:t xml:space="preserve">most studied regime variables is</w:t>
      </w:r>
      <w:r>
        <w:t xml:space="preserve"> </w:t>
      </w:r>
      <w:r>
        <w:rPr>
          <w:b/>
          <w:bCs/>
        </w:rPr>
        <w:t xml:space="preserve">cross-asset correlation</w:t>
      </w:r>
      <w:r>
        <w:t xml:space="preserve">: in calm markets,</w:t>
      </w:r>
      <w:r>
        <w:t xml:space="preserve"> </w:t>
      </w:r>
      <w:r>
        <w:t xml:space="preserve">individual sectors are driven largely by their own sector-specific news, whereas</w:t>
      </w:r>
      <w:r>
        <w:t xml:space="preserve"> </w:t>
      </w:r>
      <w:r>
        <w:t xml:space="preserve">in crises a single systematic factor dominates and</w:t>
      </w:r>
      <w:r>
        <w:t xml:space="preserve"> </w:t>
      </w:r>
      <w:r>
        <w:t xml:space="preserve">“everything moves together”</w:t>
      </w:r>
      <w:r>
        <w:t xml:space="preserve"> </w:t>
      </w:r>
      <w:r>
        <w:t xml:space="preserve">(Ang and Bekaert, 2002; Ang and Chen, 2002). This phenomenon — higher co-movement</w:t>
      </w:r>
      <w:r>
        <w:t xml:space="preserve"> </w:t>
      </w:r>
      <w:r>
        <w:t xml:space="preserve">precisely when diversification is most needed — has direct consequences for risk</w:t>
      </w:r>
      <w:r>
        <w:t xml:space="preserve"> </w:t>
      </w:r>
      <w:r>
        <w:t xml:space="preserve">management and, potentially, for forecasting.</w:t>
      </w:r>
    </w:p>
    <w:p>
      <w:pPr>
        <w:pStyle w:val="BodyText"/>
      </w:pPr>
      <w:r>
        <w:t xml:space="preserve">It is worth stating the backdrop plainly: short-horizon equity return</w:t>
      </w:r>
      <w:r>
        <w:t xml:space="preserve"> </w:t>
      </w:r>
      <w:r>
        <w:t xml:space="preserve">predictability is weak to begin with. Welch and Goyal (2008) show that popular</w:t>
      </w:r>
      <w:r>
        <w:t xml:space="preserve"> </w:t>
      </w:r>
      <w:r>
        <w:t xml:space="preserve">predictors struggle to beat the historical mean out of sample, and Campbell and</w:t>
      </w:r>
      <w:r>
        <w:t xml:space="preserve"> </w:t>
      </w:r>
      <w:r>
        <w:t xml:space="preserve">Thompson (2008) find that even statistically detectable predictability translates</w:t>
      </w:r>
      <w:r>
        <w:t xml:space="preserve"> </w:t>
      </w:r>
      <w:r>
        <w:t xml:space="preserve">into only slim out-of-sample gains. Any regime-conditional</w:t>
      </w:r>
      <w:r>
        <w:t xml:space="preserve"> </w:t>
      </w:r>
      <w:r>
        <w:t xml:space="preserve">“edge”</w:t>
      </w:r>
      <w:r>
        <w:t xml:space="preserve"> </w:t>
      </w:r>
      <w:r>
        <w:t xml:space="preserve">must be read</w:t>
      </w:r>
      <w:r>
        <w:t xml:space="preserve"> </w:t>
      </w:r>
      <w:r>
        <w:t xml:space="preserve">against this low baseline — a point that becomes central to our conclusions.</w:t>
      </w:r>
    </w:p>
    <w:p>
      <w:pPr>
        <w:pStyle w:val="BodyText"/>
      </w:pPr>
      <w:r>
        <w:rPr>
          <w:b/>
          <w:bCs/>
        </w:rPr>
        <w:t xml:space="preserve">A signal-to-noise view.</w:t>
      </w:r>
      <w:r>
        <w:t xml:space="preserve"> </w:t>
      </w:r>
      <w:r>
        <w:t xml:space="preserve">Short-horizon linear forecasting models exploit weak,</w:t>
      </w:r>
      <w:r>
        <w:t xml:space="preserve"> </w:t>
      </w:r>
      <w:r>
        <w:t xml:space="preserve">sector-specific structure in returns — mild autocorrelation and cross-sector</w:t>
      </w:r>
      <w:r>
        <w:t xml:space="preserve"> </w:t>
      </w:r>
      <w:r>
        <w:t xml:space="preserve">lead–lag relationships. In low-correlation regimes, prices track sector-specific</w:t>
      </w:r>
      <w:r>
        <w:t xml:space="preserve"> </w:t>
      </w:r>
      <w:r>
        <w:t xml:space="preserve">fundamentals, and that idiosyncratic structure is exactly the signal a linear</w:t>
      </w:r>
      <w:r>
        <w:t xml:space="preserve"> </w:t>
      </w:r>
      <w:r>
        <w:t xml:space="preserve">model can pick up. In high-correlation regimes, a single systematic factor</w:t>
      </w:r>
      <w:r>
        <w:t xml:space="preserve"> </w:t>
      </w:r>
      <w:r>
        <w:t xml:space="preserve">dominates the cross-section, the sector-specific component of returns shrinks</w:t>
      </w:r>
      <w:r>
        <w:t xml:space="preserve"> </w:t>
      </w:r>
      <w:r>
        <w:t xml:space="preserve">relative to common market noise, and the signal the model relies on collapses.</w:t>
      </w:r>
      <w:r>
        <w:t xml:space="preserve"> </w:t>
      </w:r>
      <w:r>
        <w:t xml:space="preserve">This intuition predicts that models should forecast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accurately when</w:t>
      </w:r>
      <w:r>
        <w:t xml:space="preserve"> </w:t>
      </w:r>
      <w:r>
        <w:t xml:space="preserve">cross-sector correlation is high.</w:t>
      </w:r>
    </w:p>
    <w:p>
      <w:pPr>
        <w:pStyle w:val="BodyText"/>
      </w:pPr>
      <w:r>
        <w:t xml:space="preserve">This paper tests that prediction — and then interrogates it. The hypothesis is: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 (null):</w:t>
      </w:r>
      <w:r>
        <w:t xml:space="preserve"> </w:t>
      </w:r>
      <w:r>
        <w:t xml:space="preserve">Prediction accuracy is independent of the correlation regime.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H₁ (alternative):</w:t>
      </w:r>
      <w:r>
        <w:t xml:space="preserve"> </w:t>
      </w:r>
      <w:r>
        <w:t xml:space="preserve">Prediction accuracy differs between the high- and</w:t>
      </w:r>
      <w:r>
        <w:t xml:space="preserve"> </w:t>
      </w:r>
      <w:r>
        <w:t xml:space="preserve">low-correlation regimes.</w:t>
      </w:r>
    </w:p>
    <w:p>
      <w:pPr>
        <w:pStyle w:val="FirstParagraph"/>
      </w:pPr>
      <w:r>
        <w:t xml:space="preserve">Testing H₁ alone, however, is not enough, and this is the central methodological</w:t>
      </w:r>
      <w:r>
        <w:t xml:space="preserve"> </w:t>
      </w:r>
      <w:r>
        <w:t xml:space="preserve">point of the paper. High correlation and high volatility are tightly linked, and</w:t>
      </w:r>
      <w:r>
        <w:t xml:space="preserve"> </w:t>
      </w:r>
      <w:r>
        <w:t xml:space="preserve">Forbes and Rigobon (2002) show that estimated correlation coefficients are</w:t>
      </w:r>
      <w:r>
        <w:t xml:space="preserve"> </w:t>
      </w:r>
      <w:r>
        <w:t xml:space="preserve">themselves mechanically inflated during high-volatility periods. A naive finding</w:t>
      </w:r>
      <w:r>
        <w:t xml:space="preserve"> </w:t>
      </w:r>
      <w:r>
        <w:t xml:space="preserve">that</w:t>
      </w:r>
      <w:r>
        <w:t xml:space="preserve"> </w:t>
      </w:r>
      <w:r>
        <w:t xml:space="preserve">“accuracy is worse in high-correlation regimes”</w:t>
      </w:r>
      <w:r>
        <w:t xml:space="preserve"> </w:t>
      </w:r>
      <w:r>
        <w:t xml:space="preserve">could therefore be nothing</w:t>
      </w:r>
      <w:r>
        <w:t xml:space="preserve"> </w:t>
      </w:r>
      <w:r>
        <w:t xml:space="preserve">more than</w:t>
      </w:r>
      <w:r>
        <w:t xml:space="preserve"> </w:t>
      </w:r>
      <w:r>
        <w:t xml:space="preserve">“accuracy is worse when moves are large.”</w:t>
      </w:r>
      <w:r>
        <w:t xml:space="preserve"> </w:t>
      </w:r>
      <w:r>
        <w:t xml:space="preserve">We confront this confound</w:t>
      </w:r>
      <w:r>
        <w:t xml:space="preserve"> </w:t>
      </w:r>
      <w:r>
        <w:t xml:space="preserve">head-on by asking a sharper question:</w:t>
      </w:r>
    </w:p>
    <w:p>
      <w:pPr>
        <w:pStyle w:val="BlockText"/>
      </w:pPr>
      <w:r>
        <w:t xml:space="preserve">Does the correlation regime carry any information about forecast accuracy</w:t>
      </w:r>
      <w:r>
        <w:t xml:space="preserve"> </w:t>
      </w:r>
      <w:r>
        <w:rPr>
          <w:i/>
          <w:iCs/>
        </w:rPr>
        <w:t xml:space="preserve">beyond</w:t>
      </w:r>
      <w:r>
        <w:t xml:space="preserve"> </w:t>
      </w:r>
      <w:r>
        <w:t xml:space="preserve">what volatility already explains?</w:t>
      </w:r>
    </w:p>
    <w:p>
      <w:pPr>
        <w:pStyle w:val="FirstParagraph"/>
      </w:pPr>
      <w:r>
        <w:t xml:space="preserve">As we report below, the answer in our sample is essentially</w:t>
      </w:r>
      <w:r>
        <w:t xml:space="preserve"> </w:t>
      </w:r>
      <w:r>
        <w:rPr>
          <w:b/>
          <w:bCs/>
        </w:rPr>
        <w:t xml:space="preserve">no</w:t>
      </w:r>
      <w:r>
        <w:t xml:space="preserve">. We present</w:t>
      </w:r>
      <w:r>
        <w:t xml:space="preserve"> </w:t>
      </w:r>
      <w:r>
        <w:t xml:space="preserve">the descriptive regime result in full, and then show honestly that it is a</w:t>
      </w:r>
      <w:r>
        <w:t xml:space="preserve"> </w:t>
      </w:r>
      <w:r>
        <w:t xml:space="preserve">volatility artifact.</w:t>
      </w:r>
    </w:p>
    <w:p>
      <w:r>
        <w:pict>
          <v:rect style="width:0;height:1.5pt" o:hralign="center" o:hrstd="t" o:hr="t"/>
        </w:pict>
      </w:r>
    </w:p>
    <w:bookmarkEnd w:id="20"/>
    <w:bookmarkStart w:id="27" w:name="data"/>
    <w:p>
      <w:pPr>
        <w:pStyle w:val="Heading2"/>
      </w:pPr>
      <w:r>
        <w:t xml:space="preserve">2. Data</w:t>
      </w:r>
    </w:p>
    <w:p>
      <w:pPr>
        <w:pStyle w:val="FirstParagraph"/>
      </w:pPr>
      <w:r>
        <w:t xml:space="preserve">We use daily adjusted-close prices (which account for dividends and splits) from</w:t>
      </w:r>
      <w:r>
        <w:t xml:space="preserve"> </w:t>
      </w:r>
      <w:r>
        <w:t xml:space="preserve">Yahoo Finance for</w:t>
      </w:r>
      <w:r>
        <w:t xml:space="preserve"> </w:t>
      </w:r>
      <w:r>
        <w:rPr>
          <w:b/>
          <w:bCs/>
        </w:rPr>
        <w:t xml:space="preserve">2 January 2015 – 12 June 2026</w:t>
      </w:r>
      <w:r>
        <w:t xml:space="preserve"> </w:t>
      </w:r>
      <w:r>
        <w:t xml:space="preserve">(2,878 trading days). The</w:t>
      </w:r>
      <w:r>
        <w:t xml:space="preserve"> </w:t>
      </w:r>
      <w:r>
        <w:t xml:space="preserve">universe 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377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Ticker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  <w:tc>
          <w:tcPr/>
          <w:p>
            <w:pPr>
              <w:pStyle w:val="Compact"/>
            </w:pPr>
            <w:r>
              <w:t xml:space="preserve">Economic character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</w:t>
            </w:r>
          </w:p>
        </w:tc>
        <w:tc>
          <w:tcPr/>
          <w:p>
            <w:pPr>
              <w:pStyle w:val="Compact"/>
            </w:pPr>
            <w:r>
              <w:t xml:space="preserve">Technology Select Sector SPDR</w:t>
            </w:r>
          </w:p>
        </w:tc>
        <w:tc>
          <w:tcPr/>
          <w:p>
            <w:pPr>
              <w:pStyle w:val="Compact"/>
            </w:pPr>
            <w:r>
              <w:t xml:space="preserve">Secular growth, long-duration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</w:t>
            </w:r>
          </w:p>
        </w:tc>
        <w:tc>
          <w:tcPr/>
          <w:p>
            <w:pPr>
              <w:pStyle w:val="Compact"/>
            </w:pPr>
            <w:r>
              <w:t xml:space="preserve">Health Care Select Sector SPDR</w:t>
            </w:r>
          </w:p>
        </w:tc>
        <w:tc>
          <w:tcPr/>
          <w:p>
            <w:pPr>
              <w:pStyle w:val="Compact"/>
            </w:pPr>
            <w:r>
              <w:t xml:space="preserve">Defensive growth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</w:t>
            </w:r>
          </w:p>
        </w:tc>
        <w:tc>
          <w:tcPr/>
          <w:p>
            <w:pPr>
              <w:pStyle w:val="Compact"/>
            </w:pPr>
            <w:r>
              <w:t xml:space="preserve">Energy Select Sector SPDR</w:t>
            </w:r>
          </w:p>
        </w:tc>
        <w:tc>
          <w:tcPr/>
          <w:p>
            <w:pPr>
              <w:pStyle w:val="Compact"/>
            </w:pPr>
            <w:r>
              <w:t xml:space="preserve">Inflation / commodity-sensitive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</w:t>
            </w:r>
          </w:p>
        </w:tc>
        <w:tc>
          <w:tcPr/>
          <w:p>
            <w:pPr>
              <w:pStyle w:val="Compact"/>
            </w:pPr>
            <w:r>
              <w:t xml:space="preserve">Financials Select Sector SPDR</w:t>
            </w:r>
          </w:p>
        </w:tc>
        <w:tc>
          <w:tcPr/>
          <w:p>
            <w:pPr>
              <w:pStyle w:val="Compact"/>
            </w:pPr>
            <w:r>
              <w:t xml:space="preserve">Interest-rate-sensitive, cyclical</w:t>
            </w:r>
          </w:p>
        </w:tc>
        <w:tc>
          <w:tcPr/>
          <w:p>
            <w:pPr>
              <w:pStyle w:val="Compact"/>
            </w:pPr>
            <w:r>
              <w:t xml:space="preserve">Sector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</w:t>
            </w:r>
          </w:p>
        </w:tc>
        <w:tc>
          <w:tcPr/>
          <w:p>
            <w:pPr>
              <w:pStyle w:val="Compact"/>
            </w:pPr>
            <w:r>
              <w:t xml:space="preserve">SPDR S&amp;P 500 ETF</w:t>
            </w:r>
          </w:p>
        </w:tc>
        <w:tc>
          <w:tcPr/>
          <w:p>
            <w:pPr>
              <w:pStyle w:val="Compact"/>
            </w:pPr>
            <w:r>
              <w:t xml:space="preserve">Broad market</w:t>
            </w:r>
          </w:p>
        </w:tc>
        <w:tc>
          <w:tcPr/>
          <w:p>
            <w:pPr>
              <w:pStyle w:val="Compact"/>
            </w:pPr>
            <w:r>
              <w:t xml:space="preserve">Market / target</w:t>
            </w:r>
          </w:p>
        </w:tc>
      </w:tr>
    </w:tbl>
    <w:p>
      <w:pPr>
        <w:pStyle w:val="BodyText"/>
      </w:pPr>
      <w:r>
        <w:t xml:space="preserve">These four sectors are deliberately chosen to span distinct macro drivers —</w:t>
      </w:r>
      <w:r>
        <w:t xml:space="preserve"> </w:t>
      </w:r>
      <w:r>
        <w:t xml:space="preserve">secular growth (Tech), rate sensitivity (Financials), inflation/commodity</w:t>
      </w:r>
      <w:r>
        <w:t xml:space="preserve"> </w:t>
      </w:r>
      <w:r>
        <w:t xml:space="preserve">exposure (Energy), and defensive growth (Health Care). Because they respond to</w:t>
      </w:r>
      <w:r>
        <w:t xml:space="preserve"> </w:t>
      </w:r>
      <w:r>
        <w:t xml:space="preserve">different forces, their pairwise correlations vary meaningfully over the cycle,</w:t>
      </w:r>
      <w:r>
        <w:t xml:space="preserve"> </w:t>
      </w:r>
      <w:r>
        <w:t xml:space="preserve">which is exactly what makes them a useful laboratory for a</w:t>
      </w:r>
      <w:r>
        <w:t xml:space="preserve"> </w:t>
      </w:r>
      <w:r>
        <w:rPr>
          <w:i/>
          <w:iCs/>
        </w:rPr>
        <w:t xml:space="preserve">correlation-regime</w:t>
      </w:r>
      <w:r>
        <w:t xml:space="preserve"> </w:t>
      </w:r>
      <w:r>
        <w:t xml:space="preserve">study. SPY serves as a broad-market reference and an additional forecasting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Series are aligned on common trading dates, short internal gaps are</w:t>
      </w:r>
      <w:r>
        <w:t xml:space="preserve"> </w:t>
      </w:r>
      <w:r>
        <w:t xml:space="preserve">forward-filled, and any remaining missing rows are dropped, yielding a fully</w:t>
      </w:r>
      <w:r>
        <w:t xml:space="preserve"> </w:t>
      </w:r>
      <w:r>
        <w:t xml:space="preserve">populated common window. Prices are converted to continuously compounded (log)</w:t>
      </w:r>
      <w:r>
        <w:t xml:space="preserve"> </w:t>
      </w:r>
      <w:r>
        <w:t xml:space="preserve">returns: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Descriptive statistics (annualized).</w:t>
      </w:r>
      <w:r>
        <w:t xml:space="preserve"> </w:t>
      </w:r>
      <w:r>
        <w:t xml:space="preserve">Technology was the strongest and Energy</w:t>
      </w:r>
      <w:r>
        <w:t xml:space="preserve"> </w:t>
      </w:r>
      <w:r>
        <w:t xml:space="preserve">the weakest sector; all series show the negative skew and heavy tails that are</w:t>
      </w:r>
      <w:r>
        <w:t xml:space="preserve"> </w:t>
      </w:r>
      <w:r>
        <w:t xml:space="preserve">among the well-documented stylized facts of asset returns (Cont, 2001).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0"/>
        <w:gridCol w:w="1523"/>
        <w:gridCol w:w="1929"/>
        <w:gridCol w:w="1421"/>
        <w:gridCol w:w="609"/>
        <w:gridCol w:w="17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return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 Sharpe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Excess kurtosis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XLK (Tech)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XLV (Health)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XLE (Energy)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XLF (Financials)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SPY (S&amp;P 500)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</w:t>
            </w:r>
          </w:p>
        </w:tc>
      </w:tr>
    </w:tbl>
    <w:p>
      <w:pPr>
        <w:pStyle w:val="CaptionedFigure"/>
      </w:pPr>
      <w:r>
        <w:drawing>
          <wp:inline>
            <wp:extent cx="5486400" cy="3099962"/>
            <wp:effectExtent b="0" l="0" r="0" t="0"/>
            <wp:docPr descr="Figure 1. Growth of one dollar invested per asset (cumulative log returns)." title="" id="22" name="Picture"/>
            <a:graphic>
              <a:graphicData uri="http://schemas.openxmlformats.org/drawingml/2006/picture">
                <pic:pic>
                  <pic:nvPicPr>
                    <pic:cNvPr descr="../figures/01_cumulative_return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99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Growth of one dollar invested per asset (cumulative log returns).</w:t>
      </w:r>
    </w:p>
    <w:p>
      <w:pPr>
        <w:pStyle w:val="CaptionedFigure"/>
      </w:pPr>
      <w:r>
        <w:drawing>
          <wp:inline>
            <wp:extent cx="5486400" cy="5025511"/>
            <wp:effectExtent b="0" l="0" r="0" t="0"/>
            <wp:docPr descr="Figure 2. Daily log returns by asset." title="" id="25" name="Picture"/>
            <a:graphic>
              <a:graphicData uri="http://schemas.openxmlformats.org/drawingml/2006/picture">
                <pic:pic>
                  <pic:nvPicPr>
                    <pic:cNvPr descr="../figures/02_return_serie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025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Daily log returns by asset.</w:t>
      </w:r>
    </w:p>
    <w:p>
      <w:r>
        <w:pict>
          <v:rect style="width:0;height:1.5pt" o:hralign="center" o:hrstd="t" o:hr="t"/>
        </w:pict>
      </w:r>
    </w:p>
    <w:bookmarkEnd w:id="27"/>
    <w:bookmarkStart w:id="45" w:name="methodology"/>
    <w:p>
      <w:pPr>
        <w:pStyle w:val="Heading2"/>
      </w:pPr>
      <w:r>
        <w:t xml:space="preserve">3. Methodology</w:t>
      </w:r>
    </w:p>
    <w:bookmarkStart w:id="40" w:name="correlation-structure-analysis"/>
    <w:p>
      <w:pPr>
        <w:pStyle w:val="Heading3"/>
      </w:pPr>
      <w:r>
        <w:t xml:space="preserve">3.1 Correlation-structure analysis</w:t>
      </w:r>
    </w:p>
    <w:p>
      <w:pPr>
        <w:pStyle w:val="FirstParagraph"/>
      </w:pPr>
      <w:r>
        <w:t xml:space="preserve">For each trading day we estimate the Pearson correlation between every pair of the</w:t>
      </w:r>
      <w:r>
        <w:t xml:space="preserve"> </w:t>
      </w:r>
      <w:r>
        <w:t xml:space="preserve">four sector ETFs over a trailing</w:t>
      </w:r>
      <w:r>
        <w:t xml:space="preserve"> </w:t>
      </w:r>
      <w:r>
        <w:rPr>
          <w:b/>
          <w:bCs/>
        </w:rPr>
        <w:t xml:space="preserve">90-day window</w:t>
      </w:r>
      <w:r>
        <w:t xml:space="preserve"> </w:t>
      </w:r>
      <w:r>
        <w:t xml:space="preserve">(within the 60–120-day range</w:t>
      </w:r>
      <w:r>
        <w:t xml:space="preserve"> </w:t>
      </w:r>
      <w:r>
        <w:t xml:space="preserve">common in the literature). With four sectors there are C(4,2) = 6 pairs; their</w:t>
      </w:r>
      <w:r>
        <w:t xml:space="preserve"> </w:t>
      </w:r>
      <w:r>
        <w:t xml:space="preserve">mean is the day’s</w:t>
      </w:r>
      <w:r>
        <w:t xml:space="preserve"> </w:t>
      </w:r>
      <w:r>
        <w:rPr>
          <w:b/>
          <w:bCs/>
        </w:rPr>
        <w:t xml:space="preserve">average pairwise cross-sector correlation</w:t>
      </w:r>
      <w:r>
        <w:t xml:space="preserve">. Over the full</w:t>
      </w:r>
      <w:r>
        <w:t xml:space="preserve"> </w:t>
      </w:r>
      <w:r>
        <w:t xml:space="preserve">sample the sectors are strongly co-moving (Figure 3).</w:t>
      </w:r>
    </w:p>
    <w:p>
      <w:pPr>
        <w:pStyle w:val="CaptionedFigure"/>
      </w:pPr>
      <w:r>
        <w:drawing>
          <wp:inline>
            <wp:extent cx="5486400" cy="4426609"/>
            <wp:effectExtent b="0" l="0" r="0" t="0"/>
            <wp:docPr descr="Figure 3. Full-sample return correlation matrix." title="" id="29" name="Picture"/>
            <a:graphic>
              <a:graphicData uri="http://schemas.openxmlformats.org/drawingml/2006/picture">
                <pic:pic>
                  <pic:nvPicPr>
                    <pic:cNvPr descr="../figures/03_correlation_heatmap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26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Full-sample return correlation matrix.</w:t>
      </w:r>
    </w:p>
    <w:p>
      <w:pPr>
        <w:pStyle w:val="BodyText"/>
      </w:pPr>
      <w:r>
        <w:rPr>
          <w:b/>
          <w:bCs/>
        </w:rPr>
        <w:t xml:space="preserve">Regime classification.</w:t>
      </w:r>
      <w:r>
        <w:t xml:space="preserve"> </w:t>
      </w:r>
      <w:r>
        <w:t xml:space="preserve">Using the empirical distribution of the average</w:t>
      </w:r>
      <w:r>
        <w:t xml:space="preserve"> </w:t>
      </w:r>
      <w:r>
        <w:t xml:space="preserve">correlation over the full sample, we label each day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(≥ 75th percentile,</w:t>
      </w:r>
      <w:r>
        <w:t xml:space="preserve"> </w:t>
      </w:r>
      <w:r>
        <w:t xml:space="preserve">threshold ≈ 0.670),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(≤ 25th percentile, threshold ≈ 0.337), or</w:t>
      </w:r>
      <w:r>
        <w:t xml:space="preserve"> </w:t>
      </w:r>
      <w:r>
        <w:rPr>
          <w:b/>
          <w:bCs/>
        </w:rPr>
        <w:t xml:space="preserve">mid</w:t>
      </w:r>
      <w:r>
        <w:t xml:space="preserve">.</w:t>
      </w:r>
      <w:r>
        <w:t xml:space="preserve"> </w:t>
      </w:r>
      <w:r>
        <w:t xml:space="preserve">This yields 697 high, 697 low, and 1,394 mid days. Figure 4 shows the correlation</w:t>
      </w:r>
      <w:r>
        <w:t xml:space="preserve"> </w:t>
      </w:r>
      <w:r>
        <w:t xml:space="preserve">series with the regime bands; high-correlation episodes cluster around well-known</w:t>
      </w:r>
      <w:r>
        <w:t xml:space="preserve"> </w:t>
      </w:r>
      <w:r>
        <w:t xml:space="preserve">stress periods (the 2018 volatility spike, the 2020 COVID crash, the 2022</w:t>
      </w:r>
      <w:r>
        <w:t xml:space="preserve"> </w:t>
      </w:r>
      <w:r>
        <w:t xml:space="preserve">drawdown), while the later part of the sample is markedly less correlated. Figure 5</w:t>
      </w:r>
      <w:r>
        <w:t xml:space="preserve"> </w:t>
      </w:r>
      <w:r>
        <w:t xml:space="preserve">shows the resulting regime label for each day.</w:t>
      </w:r>
    </w:p>
    <w:p>
      <w:pPr>
        <w:pStyle w:val="CaptionedFigure"/>
      </w:pPr>
      <w:r>
        <w:drawing>
          <wp:inline>
            <wp:extent cx="5486400" cy="2862898"/>
            <wp:effectExtent b="0" l="0" r="0" t="0"/>
            <wp:docPr descr="Figure 4. Rolling average cross-sector correlation with high/low regime shading." title="" id="32" name="Picture"/>
            <a:graphic>
              <a:graphicData uri="http://schemas.openxmlformats.org/drawingml/2006/picture">
                <pic:pic>
                  <pic:nvPicPr>
                    <pic:cNvPr descr="../figures/04_rolling_corr_regimes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62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4. Rolling average cross-sector correlation with high/low regime shading.</w:t>
      </w:r>
    </w:p>
    <w:p>
      <w:pPr>
        <w:pStyle w:val="CaptionedFigure"/>
      </w:pPr>
      <w:r>
        <w:drawing>
          <wp:inline>
            <wp:extent cx="5486400" cy="1822134"/>
            <wp:effectExtent b="0" l="0" r="0" t="0"/>
            <wp:docPr descr="Figure 5. Correlation regime classification over time." title="" id="35" name="Picture"/>
            <a:graphic>
              <a:graphicData uri="http://schemas.openxmlformats.org/drawingml/2006/picture">
                <pic:pic>
                  <pic:nvPicPr>
                    <pic:cNvPr descr="../figures/05_regime_timelin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2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5. Correlation regime classification over time.</w:t>
      </w:r>
    </w:p>
    <w:p>
      <w:pPr>
        <w:pStyle w:val="BodyText"/>
      </w:pPr>
      <w:r>
        <w:rPr>
          <w:b/>
          <w:bCs/>
        </w:rPr>
        <w:t xml:space="preserve">Principal Component Analysis.</w:t>
      </w:r>
      <w:r>
        <w:t xml:space="preserve"> </w:t>
      </w:r>
      <w:r>
        <w:t xml:space="preserve">As a complementary market-wide co-movement gauge</w:t>
      </w:r>
      <w:r>
        <w:t xml:space="preserve"> </w:t>
      </w:r>
      <w:r>
        <w:t xml:space="preserve">we run PCA on the standardized sector returns. Over the full sample the</w:t>
      </w:r>
      <w:r>
        <w:t xml:space="preserve"> </w:t>
      </w:r>
      <w:r>
        <w:rPr>
          <w:b/>
          <w:bCs/>
        </w:rPr>
        <w:t xml:space="preserve">first</w:t>
      </w:r>
      <w:r>
        <w:rPr>
          <w:b/>
          <w:bCs/>
        </w:rPr>
        <w:t xml:space="preserve"> </w:t>
      </w:r>
      <w:r>
        <w:rPr>
          <w:b/>
          <w:bCs/>
        </w:rPr>
        <w:t xml:space="preserve">principal component explains 69.3%</w:t>
      </w:r>
      <w:r>
        <w:t xml:space="preserve"> </w:t>
      </w:r>
      <w:r>
        <w:t xml:space="preserve">of total variance (PC1+PC2 = 85.0%),</w:t>
      </w:r>
      <w:r>
        <w:t xml:space="preserve"> </w:t>
      </w:r>
      <w:r>
        <w:t xml:space="preserve">confirming a single dominant systematic factor. A rolling PC1 variance share</w:t>
      </w:r>
      <w:r>
        <w:t xml:space="preserve"> </w:t>
      </w:r>
      <w:r>
        <w:t xml:space="preserve">(Figure 6) tracks the average correlation closely.</w:t>
      </w:r>
    </w:p>
    <w:p>
      <w:pPr>
        <w:pStyle w:val="CaptionedFigure"/>
      </w:pPr>
      <w:r>
        <w:drawing>
          <wp:inline>
            <wp:extent cx="5486400" cy="2283540"/>
            <wp:effectExtent b="0" l="0" r="0" t="0"/>
            <wp:docPr descr="Figure 6. PCA explained variance (scree) and rolling PC1 co-movement." title="" id="38" name="Picture"/>
            <a:graphic>
              <a:graphicData uri="http://schemas.openxmlformats.org/drawingml/2006/picture">
                <pic:pic>
                  <pic:nvPicPr>
                    <pic:cNvPr descr="../figures/06_pca_analysi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2835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6. PCA explained variance (scree) and rolling PC1 co-movement.</w:t>
      </w:r>
    </w:p>
    <w:bookmarkEnd w:id="40"/>
    <w:bookmarkStart w:id="41" w:name="forecasting-models"/>
    <w:p>
      <w:pPr>
        <w:pStyle w:val="Heading3"/>
      </w:pPr>
      <w:r>
        <w:t xml:space="preserve">3.2 Forecasting models</w:t>
      </w:r>
    </w:p>
    <w:p>
      <w:pPr>
        <w:pStyle w:val="FirstParagraph"/>
      </w:pPr>
      <w:r>
        <w:t xml:space="preserve">All models generate</w:t>
      </w:r>
      <w:r>
        <w:t xml:space="preserve"> </w:t>
      </w:r>
      <w:r>
        <w:rPr>
          <w:b/>
          <w:bCs/>
        </w:rPr>
        <w:t xml:space="preserve">one-step-ahead, walk-forward, out-of-sample</w:t>
      </w:r>
      <w:r>
        <w:t xml:space="preserve"> </w:t>
      </w:r>
      <w:r>
        <w:t xml:space="preserve">forecasts.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0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RandomWalk</w:t>
            </w:r>
            <w:r>
              <w:t xml:space="preserve"> </w:t>
            </w:r>
            <w:r>
              <w:t xml:space="preserve">(Model A)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(predicted return = 0); naive direction = sign of the previous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AR(1)</w:t>
            </w:r>
            <w:r>
              <w:t xml:space="preserve"> </w:t>
            </w:r>
            <w:r>
              <w:t xml:space="preserve">(Model B)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a single lag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LinearRegression</w:t>
            </w:r>
            <w:r>
              <w:t xml:space="preserve"> </w:t>
            </w:r>
            <w:r>
              <w:t xml:space="preserve">(Model C)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on lags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Ridge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L2 penalty (α = 1.0)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(extension)</w:t>
            </w:r>
          </w:p>
        </w:tc>
        <w:tc>
          <w:tcPr/>
          <w:p>
            <w:pPr>
              <w:pStyle w:val="Compact"/>
            </w:pPr>
            <w:r>
              <w:t xml:space="preserve">Model C’s design matrix with an L1 penalty (α = 5×10⁻⁴)</w:t>
            </w:r>
          </w:p>
        </w:tc>
      </w:tr>
    </w:tbl>
    <w:p>
      <w:pPr>
        <w:pStyle w:val="BodyText"/>
      </w:pPr>
      <w:r>
        <w:t xml:space="preserve">Predicted returns are converted to a price forecast via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r</m:t>
                    </m:r>
                  </m:e>
                </m:acc>
              </m:e>
              <m:sub>
                <m:r>
                  <m:t>t</m:t>
                </m:r>
              </m:sub>
            </m:sSub>
          </m:sup>
        </m:sSup>
      </m:oMath>
      <w:r>
        <w:t xml:space="preserve">. The random walk is a deliberately demanding</w:t>
      </w:r>
      <w:r>
        <w:t xml:space="preserve"> </w:t>
      </w:r>
      <w:r>
        <w:t xml:space="preserve">benchmark: beating a no-change forecast out of sample is known to be hard for</w:t>
      </w:r>
      <w:r>
        <w:t xml:space="preserve"> </w:t>
      </w:r>
      <w:r>
        <w:t xml:space="preserve">short-horizon equity returns (Campbell and Thompson, 2008).</w:t>
      </w:r>
    </w:p>
    <w:p>
      <w:pPr>
        <w:pStyle w:val="BodyText"/>
      </w:pPr>
      <w:r>
        <w:rPr>
          <w:b/>
          <w:bCs/>
        </w:rPr>
        <w:t xml:space="preserve">No look-ahead bias.</w:t>
      </w:r>
      <w:r>
        <w:t xml:space="preserve"> </w:t>
      </w:r>
      <w:r>
        <w:t xml:space="preserve">For each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the model is fit only on data through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252-day rolling training window</w:t>
      </w:r>
      <w:r>
        <w:t xml:space="preserve"> </w:t>
      </w:r>
      <w:r>
        <w:t xml:space="preserve">(≈ one trading year). The</w:t>
      </w:r>
      <w:r>
        <w:t xml:space="preserve"> </w:t>
      </w:r>
      <w:r>
        <w:t xml:space="preserve">rolling correlation series, the 252-day training window, and the regime</w:t>
      </w:r>
      <w:r>
        <w:t xml:space="preserve"> </w:t>
      </w:r>
      <w:r>
        <w:t xml:space="preserve">boundaries are</w:t>
      </w:r>
      <w:r>
        <w:t xml:space="preserve"> </w:t>
      </w:r>
      <w:r>
        <w:rPr>
          <w:b/>
          <w:bCs/>
        </w:rPr>
        <w:t xml:space="preserve">all computed using data strictly up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t−1</w:t>
      </w:r>
      <w:r>
        <w:t xml:space="preserve">; nothing on day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enters any quantity used to forecast day</w:t>
      </w:r>
      <w:r>
        <w:t xml:space="preserve"> </w:t>
      </w:r>
      <w:r>
        <w:rPr>
          <w:i/>
          <w:iCs/>
        </w:rPr>
        <w:t xml:space="preserve">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 the regularized models and their penalties.</w:t>
      </w:r>
      <w:r>
        <w:t xml:space="preserve"> </w:t>
      </w:r>
      <w:r>
        <w:t xml:space="preserve">Ridge and Lasso are included</w:t>
      </w:r>
      <w:r>
        <w:t xml:space="preserve"> </w:t>
      </w:r>
      <w:r>
        <w:t xml:space="preserve">because regularized linear models are a standard, well-motivated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benchmark in empirical asset pricing, where shrinkage methods have been</w:t>
      </w:r>
      <w:r>
        <w:t xml:space="preserve"> </w:t>
      </w:r>
      <w:r>
        <w:t xml:space="preserve">systematically evaluated as part of the machine-learning toolkit (Gu, Kelly, and</w:t>
      </w:r>
      <w:r>
        <w:t xml:space="preserve"> </w:t>
      </w:r>
      <w:r>
        <w:t xml:space="preserve">Xiu, 2020, who report that nonlinear methods can improve further still). 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tune</w:t>
      </w:r>
      <w:r>
        <w:t xml:space="preserve"> </w:t>
      </w:r>
      <w:r>
        <w:t xml:space="preserve">the penalties: the sample begins in January 2015, so there is no earlier</w:t>
      </w:r>
      <w:r>
        <w:t xml:space="preserve"> </w:t>
      </w:r>
      <w:r>
        <w:t xml:space="preserve">validation window to tune on without either introducing look-ahead bias or</w:t>
      </w:r>
      <w:r>
        <w:t xml:space="preserve"> </w:t>
      </w:r>
      <w:r>
        <w:t xml:space="preserve">sacrificing data. We therefore fix the penalties at conventional defaults</w:t>
      </w:r>
      <w:r>
        <w:t xml:space="preserve"> </w:t>
      </w:r>
      <w:r>
        <w:t xml:space="preserve">(Ridge α = 1.0; Lasso α = 5×10⁻⁴) and, rather than claim a tuned optimum, provide</w:t>
      </w:r>
      <w:r>
        <w:t xml:space="preserve"> </w:t>
      </w:r>
      <w:r>
        <w:t xml:space="preserve">an explicit</w:t>
      </w:r>
      <w:r>
        <w:t xml:space="preserve"> </w:t>
      </w:r>
      <w:r>
        <w:rPr>
          <w:b/>
          <w:bCs/>
        </w:rPr>
        <w:t xml:space="preserve">alpha-robustness check</w:t>
      </w:r>
      <w:r>
        <w:t xml:space="preserve"> </w:t>
      </w:r>
      <w:r>
        <w:t xml:space="preserve">(Section 4.6) showing the regime finding</w:t>
      </w:r>
      <w:r>
        <w:t xml:space="preserve"> </w:t>
      </w:r>
      <w:r>
        <w:t xml:space="preserve">does not hinge on the exact penalty.</w:t>
      </w:r>
    </w:p>
    <w:bookmarkEnd w:id="41"/>
    <w:bookmarkStart w:id="42" w:name="evaluation-metrics"/>
    <w:p>
      <w:pPr>
        <w:pStyle w:val="Heading3"/>
      </w:pPr>
      <w:r>
        <w:t xml:space="preserve">3.3 Evaluation metrics</w:t>
      </w:r>
    </w:p>
    <w:p>
      <w:pPr>
        <w:pStyle w:val="FirstParagraph"/>
      </w:pPr>
      <w:r>
        <w:t xml:space="preserve">For each model, regime, and asset we compute</w:t>
      </w:r>
      <w:r>
        <w:t xml:space="preserve"> </w:t>
      </w:r>
      <w:r>
        <w:rPr>
          <w:b/>
          <w:bCs/>
        </w:rPr>
        <w:t xml:space="preserve">MAE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RMSE</w:t>
      </w:r>
      <w:r>
        <w:t xml:space="preserve"> </w:t>
      </w:r>
      <w:r>
        <w:t xml:space="preserve">of the return</w:t>
      </w:r>
      <w:r>
        <w:t xml:space="preserve"> </w:t>
      </w:r>
      <w:r>
        <w:t xml:space="preserve">forecast, the same for the price forecast, and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 </w:t>
      </w:r>
      <w:r>
        <w:t xml:space="preserve">(fraction</w:t>
      </w:r>
      <w:r>
        <w:t xml:space="preserve"> </w:t>
      </w:r>
      <w:r>
        <w:t xml:space="preserve">of days the predicted return sign matches the realized sign; zero-return days</w:t>
      </w:r>
      <w:r>
        <w:t xml:space="preserve"> </w:t>
      </w:r>
      <w:r>
        <w:t xml:space="preserve">excluded). Errors are pooled across the five assets and tagged by the regime of</w:t>
      </w:r>
      <w:r>
        <w:t xml:space="preserve"> </w:t>
      </w:r>
      <w:r>
        <w:t xml:space="preserve">each day.</w:t>
      </w:r>
    </w:p>
    <w:p>
      <w:pPr>
        <w:pStyle w:val="BlockText"/>
      </w:pPr>
      <w:r>
        <w:rPr>
          <w:b/>
          <w:bCs/>
        </w:rPr>
        <w:t xml:space="preserve">Why return-space errors, not price-MAE?</w:t>
      </w:r>
      <w:r>
        <w:t xml:space="preserve"> </w:t>
      </w:r>
      <w:r>
        <w:t xml:space="preserve">Price levels drift over the sample,</w:t>
      </w:r>
      <w:r>
        <w:t xml:space="preserve"> </w:t>
      </w:r>
      <w:r>
        <w:t xml:space="preserve">so a raw price MAE conflates forecasting difficulty with the price level on a</w:t>
      </w:r>
      <w:r>
        <w:t xml:space="preserve"> </w:t>
      </w:r>
      <w:r>
        <w:t xml:space="preserve">given day. The absolute</w:t>
      </w:r>
      <w:r>
        <w:t xml:space="preserve"> </w:t>
      </w:r>
      <w:r>
        <w:rPr>
          <w:i/>
          <w:iCs/>
        </w:rPr>
        <w:t xml:space="preserve">return</w:t>
      </w:r>
      <w:r>
        <w:t xml:space="preserve"> </w:t>
      </w:r>
      <w:r>
        <w:t xml:space="preserve">error is comparable across assets and regimes.</w:t>
      </w:r>
    </w:p>
    <w:p>
      <w:pPr>
        <w:pStyle w:val="BlockText"/>
      </w:pPr>
      <w:r>
        <w:rPr>
          <w:b/>
          <w:bCs/>
        </w:rPr>
        <w:t xml:space="preserve">A caution about MAE that shapes the whole analysis.</w:t>
      </w:r>
      <w:r>
        <w:t xml:space="preserve"> </w:t>
      </w:r>
      <w:r>
        <w:t xml:space="preserve">Because every model</w:t>
      </w:r>
      <w:r>
        <w:t xml:space="preserve"> </w:t>
      </w:r>
      <w:r>
        <w:t xml:space="preserve">predicts a return close to zero (the random walk predicts exactly zero), the</w:t>
      </w:r>
      <w:r>
        <w:t xml:space="preserve"> </w:t>
      </w:r>
      <w:r>
        <w:t xml:space="preserve">absolute return error is nearly equal to the</w:t>
      </w:r>
      <w:r>
        <w:t xml:space="preserve"> </w:t>
      </w:r>
      <w:r>
        <w:rPr>
          <w:i/>
          <w:iCs/>
        </w:rPr>
        <w:t xml:space="preserve">size of the realized move</w:t>
      </w:r>
      <w:r>
        <w:t xml:space="preserve"> </w:t>
      </w:r>
      <w:r>
        <w:t xml:space="preserve">— i.e.</w:t>
      </w:r>
      <w:r>
        <w:t xml:space="preserve"> </w:t>
      </w:r>
      <w:r>
        <w:t xml:space="preserve">it tracks realized volatility almost by construction, and realized volatility is</w:t>
      </w:r>
      <w:r>
        <w:t xml:space="preserve"> </w:t>
      </w:r>
      <w:r>
        <w:t xml:space="preserve">itself persistent and clustered (Engle, 1982; Bollerslev, 1986). Return-MAE is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invariant to volatility, and any</w:t>
      </w:r>
      <w:r>
        <w:t xml:space="preserve"> </w:t>
      </w:r>
      <w:r>
        <w:t xml:space="preserve">“volatility explains the error”</w:t>
      </w:r>
      <w:r>
        <w:t xml:space="preserve"> </w:t>
      </w:r>
      <w:r>
        <w:t xml:space="preserve">result</w:t>
      </w:r>
      <w:r>
        <w:t xml:space="preserve"> </w:t>
      </w:r>
      <w:r>
        <w:t xml:space="preserve">in Section 4 is partly mechanical. The metric that is genuinely invariant to</w:t>
      </w:r>
      <w:r>
        <w:t xml:space="preserve"> </w:t>
      </w:r>
      <w:r>
        <w:t xml:space="preserve">move size is</w:t>
      </w:r>
      <w:r>
        <w:t xml:space="preserve"> </w:t>
      </w:r>
      <w:r>
        <w:rPr>
          <w:b/>
          <w:bCs/>
        </w:rPr>
        <w:t xml:space="preserve">directional accuracy</w:t>
      </w:r>
      <w:r>
        <w:t xml:space="preserve">: getting the sign right is neither easier</w:t>
      </w:r>
      <w:r>
        <w:t xml:space="preserve"> </w:t>
      </w:r>
      <w:r>
        <w:t xml:space="preserve">nor harder simply because moves are large. We treat directional accuracy as the</w:t>
      </w:r>
      <w:r>
        <w:t xml:space="preserve"> </w:t>
      </w:r>
      <w:r>
        <w:t xml:space="preserve">load-bearing, non-trivial test (Section 4.5).</w:t>
      </w:r>
    </w:p>
    <w:bookmarkEnd w:id="42"/>
    <w:bookmarkStart w:id="43" w:name="hypothesis-testing"/>
    <w:p>
      <w:pPr>
        <w:pStyle w:val="Heading3"/>
      </w:pPr>
      <w:r>
        <w:t xml:space="preserve">3.4 Hypothesis testing</w:t>
      </w:r>
    </w:p>
    <w:p>
      <w:pPr>
        <w:pStyle w:val="FirstParagraph"/>
      </w:pPr>
      <w:r>
        <w:t xml:space="preserve">For each model we compare absolute return errors in the high vs low regime using</w:t>
      </w:r>
      <w:r>
        <w:t xml:space="preserve"> </w:t>
      </w:r>
      <w:r>
        <w:rPr>
          <w:b/>
          <w:bCs/>
        </w:rPr>
        <w:t xml:space="preserve">Welch’s t-test</w:t>
      </w:r>
      <w:r>
        <w:t xml:space="preserve"> </w:t>
      </w:r>
      <w:r>
        <w:t xml:space="preserve">(unequal variance) and the</w:t>
      </w:r>
      <w:r>
        <w:t xml:space="preserve"> </w:t>
      </w:r>
      <w:r>
        <w:rPr>
          <w:b/>
          <w:bCs/>
        </w:rPr>
        <w:t xml:space="preserve">Mann–Whitney U test</w:t>
      </w:r>
      <w:r>
        <w:t xml:space="preserve"> </w:t>
      </w:r>
      <w:r>
        <w:t xml:space="preserve">(distribution-free, robust to the heavy-tailed error distribution). More broadly,</w:t>
      </w:r>
      <w:r>
        <w:t xml:space="preserve"> </w:t>
      </w:r>
      <w:r>
        <w:t xml:space="preserve">formally testing whether one set of forecasts is more accurate than another is the</w:t>
      </w:r>
      <w:r>
        <w:t xml:space="preserve"> </w:t>
      </w:r>
      <w:r>
        <w:t xml:space="preserve">problem introduced by Diebold and Mariano (1995); here we compare a single model’s</w:t>
      </w:r>
      <w:r>
        <w:t xml:space="preserve"> </w:t>
      </w:r>
      <w:r>
        <w:t xml:space="preserve">errors</w:t>
      </w:r>
      <w:r>
        <w:t xml:space="preserve"> </w:t>
      </w:r>
      <w:r>
        <w:rPr>
          <w:i/>
          <w:iCs/>
        </w:rPr>
        <w:t xml:space="preserve">across regimes</w:t>
      </w:r>
      <w:r>
        <w:t xml:space="preserve"> </w:t>
      </w:r>
      <w:r>
        <w:t xml:space="preserve">rather than two models against each other. Directional</w:t>
      </w:r>
      <w:r>
        <w:t xml:space="preserve"> </w:t>
      </w:r>
      <w:r>
        <w:t xml:space="preserve">accuracy is compared with a</w:t>
      </w:r>
      <w:r>
        <w:t xml:space="preserve"> </w:t>
      </w:r>
      <w:r>
        <w:rPr>
          <w:b/>
          <w:bCs/>
        </w:rPr>
        <w:t xml:space="preserve">two-proportion z-test</w:t>
      </w:r>
      <w:r>
        <w:t xml:space="preserve"> </w:t>
      </w:r>
      <w:r>
        <w:t xml:space="preserve">— a simple sign-based assessment in the spirit of the</w:t>
      </w:r>
      <w:r>
        <w:t xml:space="preserve"> </w:t>
      </w:r>
      <w:r>
        <w:t xml:space="preserve">directional-predictability test of Pesaran and Timmermann (1992) — and we report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as a standardized effect size.</w:t>
      </w:r>
    </w:p>
    <w:p>
      <w:pPr>
        <w:pStyle w:val="BodyText"/>
      </w:pPr>
      <w:r>
        <w:rPr>
          <w:b/>
          <w:bCs/>
        </w:rPr>
        <w:t xml:space="preserve">Caveat on independence.</w:t>
      </w:r>
      <w:r>
        <w:t xml:space="preserve"> </w:t>
      </w:r>
      <w:r>
        <w:t xml:space="preserve">The pooled observations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— regimes</w:t>
      </w:r>
      <w:r>
        <w:t xml:space="preserve"> </w:t>
      </w:r>
      <w:r>
        <w:t xml:space="preserve">persist for many consecutive days and the five assets are correlated — so the</w:t>
      </w:r>
      <w:r>
        <w:t xml:space="preserve"> </w:t>
      </w:r>
      <w:r>
        <w:t xml:space="preserve">extremely small p-values below overstate the true statistical certainty. We</w:t>
      </w:r>
      <w:r>
        <w:t xml:space="preserve"> </w:t>
      </w:r>
      <w:r>
        <w:t xml:space="preserve">report them for transparency but do not lean on their magnitude; the confound</w:t>
      </w:r>
      <w:r>
        <w:t xml:space="preserve"> </w:t>
      </w:r>
      <w:r>
        <w:t xml:space="preserve">analysis in Section 3.5, which uses HAC standard errors, is the more rigorous</w:t>
      </w:r>
      <w:r>
        <w:t xml:space="preserve"> </w:t>
      </w:r>
      <w:r>
        <w:t xml:space="preserve">inferential test.</w:t>
      </w:r>
    </w:p>
    <w:bookmarkEnd w:id="43"/>
    <w:bookmarkStart w:id="44" w:name="X859d3380a1b5b3677f36652194778b6549de1c6"/>
    <w:p>
      <w:pPr>
        <w:pStyle w:val="Heading3"/>
      </w:pPr>
      <w:r>
        <w:t xml:space="preserve">3.5 Confound analysis: correlation vs. volatility</w:t>
      </w:r>
    </w:p>
    <w:p>
      <w:pPr>
        <w:pStyle w:val="FirstParagraph"/>
      </w:pPr>
      <w:r>
        <w:t xml:space="preserve">This is the paper’s core robustness section. To separate a genuine correlation</w:t>
      </w:r>
      <w:r>
        <w:t xml:space="preserve"> </w:t>
      </w:r>
      <w:r>
        <w:t xml:space="preserve">effect from a volatility effect, we: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a volatility proxy</w:t>
      </w:r>
      <w:r>
        <w:t xml:space="preserve"> </w:t>
      </w:r>
      <w:r>
        <w:t xml:space="preserve">— 90-day annualized realized volatility of SPY</w:t>
      </w:r>
      <w:r>
        <w:t xml:space="preserve"> </w:t>
      </w:r>
      <w:r>
        <w:t xml:space="preserve">(realized volatility in the sense of Andersen, Bollerslev, Diebold, and Labys,</w:t>
      </w:r>
      <w:r>
        <w:t xml:space="preserve"> </w:t>
      </w:r>
      <w:r>
        <w:t xml:space="preserve">2003), computed through day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(a VIX-based proxy was considered but is not</w:t>
      </w:r>
      <w:r>
        <w:t xml:space="preserve"> </w:t>
      </w:r>
      <w:r>
        <w:t xml:space="preserve">used here, to keep the pipeline fully reproducible from the price data alone).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Regress the daily mean absolute error on the lagged predictors</w:t>
      </w:r>
      <w:r>
        <w:t xml:space="preserve"> </w:t>
      </w:r>
      <w:r>
        <w:t xml:space="preserve">(both</w:t>
      </w:r>
      <w:r>
        <w:t xml:space="preserve"> </w:t>
      </w:r>
      <w:r>
        <w:t xml:space="preserve">z-scored), using Newey and West (1987) heteroskedasticity- and</w:t>
      </w:r>
      <w:r>
        <w:t xml:space="preserve"> </w:t>
      </w:r>
      <w:r>
        <w:t xml:space="preserve">autocorrelation-consistent (HAC) standard errors with 21 lags to account for</w:t>
      </w:r>
      <w:r>
        <w:t xml:space="preserve"> </w:t>
      </w:r>
      <w:r>
        <w:t xml:space="preserve">the strong persistence of the series: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rPr>
              <m:nor/>
              <m:sty m:val="p"/>
            </m:rPr>
            <m:t>error</m:t>
          </m:r>
          <m:sSub>
            <m:e>
              <m:r>
                <m:rPr>
                  <m:sty m:val="p"/>
                </m:rPr>
                <m:t>|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corr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vol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We estimate three specifications — correlation only, volatility only, and joint</w:t>
      </w:r>
      <w:r>
        <w:t xml:space="preserve"> </w:t>
      </w:r>
      <w:r>
        <w:t xml:space="preserve">— so the shrinkage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when volatility is added is directly visible.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Build a 2×2 double sort</w:t>
      </w:r>
      <w:r>
        <w:t xml:space="preserve"> </w:t>
      </w:r>
      <w:r>
        <w:t xml:space="preserve">— Low/High correlation (25th/75th percentile) ×</w:t>
      </w:r>
      <w:r>
        <w:t xml:space="preserve"> </w:t>
      </w:r>
      <w:r>
        <w:t xml:space="preserve">Low/High volatility (median split) — and report MAE and directional accuracy in</w:t>
      </w:r>
      <w:r>
        <w:t xml:space="preserve"> </w:t>
      </w:r>
      <w:r>
        <w:t xml:space="preserve">each cell. The critical comparison is</w:t>
      </w:r>
      <w:r>
        <w:t xml:space="preserve"> </w:t>
      </w:r>
      <w:r>
        <w:rPr>
          <w:b/>
          <w:bCs/>
        </w:rPr>
        <w:t xml:space="preserve">high-volatility/low-correlation vs</w:t>
      </w:r>
      <w:r>
        <w:rPr>
          <w:b/>
          <w:bCs/>
        </w:rPr>
        <w:t xml:space="preserve"> </w:t>
      </w:r>
      <w:r>
        <w:rPr>
          <w:b/>
          <w:bCs/>
        </w:rPr>
        <w:t xml:space="preserve">high-volatility/high-correlation</w:t>
      </w:r>
      <w:r>
        <w:t xml:space="preserve">, which isolates the correlation effect with</w:t>
      </w:r>
      <w:r>
        <w:t xml:space="preserve"> </w:t>
      </w:r>
      <w:r>
        <w:t xml:space="preserve">volatility held high.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7" w:name="results"/>
    <w:p>
      <w:pPr>
        <w:pStyle w:val="Heading2"/>
      </w:pPr>
      <w:r>
        <w:t xml:space="preserve">4. Results</w:t>
      </w:r>
    </w:p>
    <w:bookmarkStart w:id="49" w:name="descriptive-accuracy-by-regime"/>
    <w:p>
      <w:pPr>
        <w:pStyle w:val="Heading3"/>
      </w:pPr>
      <w:r>
        <w:t xml:space="preserve">4.1 Descriptive accuracy by regime</w:t>
      </w:r>
    </w:p>
    <w:p>
      <w:pPr>
        <w:pStyle w:val="FirstParagraph"/>
      </w:pPr>
      <w:r>
        <w:t xml:space="preserve">Pooled return-error metrics and directional accuracy by model and regime (full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</w:rPr>
        <w:t xml:space="preserve">results/metrics_by_regime.csv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(return)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Directional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53.2%</w:t>
            </w:r>
          </w:p>
        </w:tc>
      </w:tr>
    </w:tbl>
    <w:p>
      <w:pPr>
        <w:pStyle w:val="BodyText"/>
      </w:pPr>
      <w:r>
        <w:t xml:space="preserve">Descriptively, errors are</w:t>
      </w:r>
      <w:r>
        <w:t xml:space="preserve"> </w:t>
      </w:r>
      <w:r>
        <w:rPr>
          <w:b/>
          <w:bCs/>
        </w:rPr>
        <w:t xml:space="preserve">roughly 58–62% larger</w:t>
      </w:r>
      <w:r>
        <w:t xml:space="preserve"> </w:t>
      </w:r>
      <w:r>
        <w:t xml:space="preserve">in the high-correlation</w:t>
      </w:r>
      <w:r>
        <w:t xml:space="preserve"> </w:t>
      </w:r>
      <w:r>
        <w:t xml:space="preserve">regime for every model, and directional accuracy is lower — falling to chance or</w:t>
      </w:r>
      <w:r>
        <w:t xml:space="preserve"> </w:t>
      </w:r>
      <w:r>
        <w:t xml:space="preserve">below (the naive random-walk direction is 46.6%, worse than a coin flip, in the</w:t>
      </w:r>
      <w:r>
        <w:t xml:space="preserve"> </w:t>
      </w:r>
      <w:r>
        <w:t xml:space="preserve">high regime). Figure 7 shows a representative predicted-vs-actual price track.</w:t>
      </w:r>
    </w:p>
    <w:p>
      <w:pPr>
        <w:pStyle w:val="CaptionedFigure"/>
      </w:pPr>
      <w:r>
        <w:drawing>
          <wp:inline>
            <wp:extent cx="5486400" cy="2844981"/>
            <wp:effectExtent b="0" l="0" r="0" t="0"/>
            <wp:docPr descr="Figure 7. Predicted vs actual SPY price (linear regression, last 250 trading days)." title="" id="47" name="Picture"/>
            <a:graphic>
              <a:graphicData uri="http://schemas.openxmlformats.org/drawingml/2006/picture">
                <pic:pic>
                  <pic:nvPicPr>
                    <pic:cNvPr descr="../figures/07_prediction_vs_actua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449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 Predicted vs actual SPY price (linear regression, last 250 trading days).</w:t>
      </w:r>
    </w:p>
    <w:bookmarkEnd w:id="49"/>
    <w:bookmarkStart w:id="53" w:name="hypothesis-tests-high-vs-low-regime"/>
    <w:p>
      <w:pPr>
        <w:pStyle w:val="Heading3"/>
      </w:pPr>
      <w:r>
        <w:t xml:space="preserve">4.2 Hypothesis tests (high vs low regime)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9"/>
        <w:gridCol w:w="1600"/>
        <w:gridCol w:w="1516"/>
        <w:gridCol w:w="1432"/>
        <w:gridCol w:w="1853"/>
        <w:gridCol w:w="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high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|err| low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Welch t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Mann–Whitney p-value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Cohen’s 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2.0×10⁻²⁹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1.2×10⁻⁴³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3.0×10⁻²⁸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3.4×10⁻⁴⁶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4.5×10⁻³³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1.1×10⁻⁴⁴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1.8×10⁻³⁰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</w:tr>
    </w:tbl>
    <w:p>
      <w:pPr>
        <w:pStyle w:val="BodyText"/>
      </w:pPr>
      <w:r>
        <w:t xml:space="preserve">Both tests reject H₀ for every model (small-to-medium effect, Cohen’s d ≈ 0.37).</w:t>
      </w:r>
      <w:r>
        <w:t xml:space="preserve"> </w:t>
      </w:r>
      <w:r>
        <w:t xml:space="preserve">The error distributions for the two regimes are compared in Figure 8. Taken at</w:t>
      </w:r>
      <w:r>
        <w:t xml:space="preserve"> </w:t>
      </w:r>
      <w:r>
        <w:t xml:space="preserve">face value this says accuracy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independent of the correlation regime.</w:t>
      </w:r>
      <w:r>
        <w:t xml:space="preserve"> </w:t>
      </w:r>
      <w:r>
        <w:t xml:space="preserve">Section 4.3 shows why that face-value reading is misleading.</w:t>
      </w:r>
    </w:p>
    <w:p>
      <w:pPr>
        <w:pStyle w:val="CaptionedFigure"/>
      </w:pPr>
      <w:r>
        <w:drawing>
          <wp:inline>
            <wp:extent cx="5486400" cy="2444018"/>
            <wp:effectExtent b="0" l="0" r="0" t="0"/>
            <wp:docPr descr="Figure 8. Absolute return-error distribution: high vs low correlation regime." title="" id="51" name="Picture"/>
            <a:graphic>
              <a:graphicData uri="http://schemas.openxmlformats.org/drawingml/2006/picture">
                <pic:pic>
                  <pic:nvPicPr>
                    <pic:cNvPr descr="../figures/08_error_distributio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440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8. Absolute return-error distribution: high vs low correlation regime.</w:t>
      </w:r>
    </w:p>
    <w:bookmarkEnd w:id="53"/>
    <w:bookmarkStart w:id="57" w:name="X567afeaa6e435e3f7311fc274d081b0d0cfbb2c"/>
    <w:p>
      <w:pPr>
        <w:pStyle w:val="Heading3"/>
      </w:pPr>
      <w:r>
        <w:t xml:space="preserve">4.3 The confound: correlation vs. volatility (the key result)</w:t>
      </w:r>
    </w:p>
    <w:p>
      <w:pPr>
        <w:pStyle w:val="FirstParagraph"/>
      </w:pPr>
      <w:r>
        <w:t xml:space="preserve">In our sample, lagged correlation and lagged volatility are strongly collinear:</w:t>
      </w:r>
      <w:r>
        <w:t xml:space="preserve"> </w:t>
      </w:r>
      <w:r>
        <w:rPr>
          <w:b/>
          <w:bCs/>
        </w:rPr>
        <w:t xml:space="preserve">r = 0.64</w:t>
      </w:r>
      <w:r>
        <w:t xml:space="preserve"> </w:t>
      </w:r>
      <w:r>
        <w:t xml:space="preserve">(Figure 9). The regression of daily mean</w:t>
      </w:r>
      <w:r>
        <w:t xml:space="preserve"> </w:t>
      </w:r>
      <w:r>
        <w:t xml:space="preserve">absolute error on the two lagged predictors (z-scored; Newey–West SE, 21 lags;</w:t>
      </w:r>
      <w:r>
        <w:t xml:space="preserve"> </w:t>
      </w:r>
      <w:r>
        <w:t xml:space="preserve">n = 2,620) is decisive. Results are near-identical across models; the</w:t>
      </w:r>
      <w:r>
        <w:t xml:space="preserve"> </w:t>
      </w:r>
      <w:r>
        <w:t xml:space="preserve">LinearRegression row is representative (full table in</w:t>
      </w:r>
      <w:r>
        <w:t xml:space="preserve"> </w:t>
      </w:r>
      <w:r>
        <w:rPr>
          <w:rStyle w:val="VerbatimChar"/>
        </w:rPr>
        <w:t xml:space="preserve">results/confound_regression.csv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73"/>
        <w:gridCol w:w="1896"/>
        <w:gridCol w:w="1115"/>
        <w:gridCol w:w="1784"/>
        <w:gridCol w:w="1003"/>
        <w:gridCol w:w="4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(correlation)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(corr)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 (volatility)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(vol)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Volatility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5.3×10⁻⁵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Joint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−0.00015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+0.00319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6.0×10⁻⁶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</w:tr>
    </w:tbl>
    <w:p>
      <w:pPr>
        <w:pStyle w:val="BodyText"/>
      </w:pPr>
      <w:r>
        <w:t xml:space="preserve">The pattern is the same for all five models: in the joint specification the</w:t>
      </w:r>
      <w:r>
        <w:t xml:space="preserve"> </w:t>
      </w:r>
      <w:r>
        <w:t xml:space="preserve">correlation coefficient is statistically insignificant (</w:t>
      </w:r>
      <w:r>
        <w:rPr>
          <w:b/>
          <w:bCs/>
        </w:rPr>
        <w:t xml:space="preserve">p ≈ 0.72–0.79</w:t>
      </w:r>
      <w:r>
        <w:t xml:space="preserve"> </w:t>
      </w:r>
      <w:r>
        <w:t xml:space="preserve">across</w:t>
      </w:r>
      <w:r>
        <w:t xml:space="preserve"> </w:t>
      </w:r>
      <w:r>
        <w:t xml:space="preserve">models) and economically ≈ 0 (it even flips slightly negative), while volatility</w:t>
      </w:r>
      <w:r>
        <w:t xml:space="preserve"> </w:t>
      </w:r>
      <w:r>
        <w:t xml:space="preserve">remains highly significant (</w:t>
      </w:r>
      <w:r>
        <w:rPr>
          <w:b/>
          <w:bCs/>
        </w:rPr>
        <w:t xml:space="preserve">p ≈ 3–6×10⁻⁶</w:t>
      </w:r>
      <w:r>
        <w:t xml:space="preserve">). Adding correlation on top of</w:t>
      </w:r>
      <w:r>
        <w:t xml:space="preserve"> </w:t>
      </w:r>
      <w:r>
        <w:t xml:space="preserve">volatility moves R² by essentially nothing (0.1189 → 0.1190 for the linear model;</w:t>
      </w:r>
      <w:r>
        <w:t xml:space="preserve"> </w:t>
      </w:r>
      <w:r>
        <w:t xml:space="preserve">the joint R² ranges 0.109–0.119 across the five models). In plain terms:</w:t>
      </w:r>
      <w:r>
        <w:t xml:space="preserve"> </w:t>
      </w:r>
      <w:r>
        <w:rPr>
          <w:b/>
          <w:bCs/>
        </w:rPr>
        <w:t xml:space="preserve">once</w:t>
      </w:r>
      <w:r>
        <w:rPr>
          <w:b/>
          <w:bCs/>
        </w:rPr>
        <w:t xml:space="preserve"> </w:t>
      </w:r>
      <w:r>
        <w:rPr>
          <w:b/>
          <w:bCs/>
        </w:rPr>
        <w:t xml:space="preserve">volatility is accounted for, the correlation regime tells us nothing more about</w:t>
      </w:r>
      <w:r>
        <w:rPr>
          <w:b/>
          <w:bCs/>
        </w:rPr>
        <w:t xml:space="preserve"> </w:t>
      </w:r>
      <w:r>
        <w:rPr>
          <w:b/>
          <w:bCs/>
        </w:rPr>
        <w:t xml:space="preserve">the error magnitude.</w:t>
      </w:r>
      <w:r>
        <w:t xml:space="preserve"> </w:t>
      </w:r>
      <w:r>
        <w:t xml:space="preserve">The significant marginal association in Sections 4.1–4.2 is</w:t>
      </w:r>
      <w:r>
        <w:t xml:space="preserve"> </w:t>
      </w:r>
      <w:r>
        <w:t xml:space="preserve">a volatility effect wearing a correlation costume.</w:t>
      </w:r>
    </w:p>
    <w:p>
      <w:pPr>
        <w:pStyle w:val="CaptionedFigure"/>
      </w:pPr>
      <w:r>
        <w:drawing>
          <wp:inline>
            <wp:extent cx="5486400" cy="4497273"/>
            <wp:effectExtent b="0" l="0" r="0" t="0"/>
            <wp:docPr descr="Figure 9. Lagged correlation vs lagged volatility — the two are collinear (r = 0.64)." title="" id="55" name="Picture"/>
            <a:graphic>
              <a:graphicData uri="http://schemas.openxmlformats.org/drawingml/2006/picture">
                <pic:pic>
                  <pic:nvPicPr>
                    <pic:cNvPr descr="../figures/10_corr_vs_vol_scatter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9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9. Lagged correlation vs lagged volatility — the two are collinear (r = 0.64).</w:t>
      </w:r>
    </w:p>
    <w:p>
      <w:pPr>
        <w:pStyle w:val="BodyText"/>
      </w:pPr>
      <w:r>
        <w:t xml:space="preserve">One caveat we return to below: the dependent variable here is absolute return</w:t>
      </w:r>
      <w:r>
        <w:t xml:space="preserve"> </w:t>
      </w:r>
      <w:r>
        <w:t xml:space="preserve">error, which — because forecasts are near zero — is close to the size of the move</w:t>
      </w:r>
      <w:r>
        <w:t xml:space="preserve"> </w:t>
      </w:r>
      <w:r>
        <w:t xml:space="preserve">itself. So this regression establishes that the</w:t>
      </w:r>
      <w:r>
        <w:t xml:space="preserve"> </w:t>
      </w:r>
      <w:r>
        <w:rPr>
          <w:i/>
          <w:iCs/>
        </w:rPr>
        <w:t xml:space="preserve">correlation</w:t>
      </w:r>
      <w:r>
        <w:t xml:space="preserve"> </w:t>
      </w:r>
      <w:r>
        <w:t xml:space="preserve">effect is spurious,</w:t>
      </w:r>
      <w:r>
        <w:t xml:space="preserve"> </w:t>
      </w:r>
      <w:r>
        <w:t xml:space="preserve">but the surviving</w:t>
      </w:r>
      <w:r>
        <w:t xml:space="preserve"> </w:t>
      </w:r>
      <w:r>
        <w:rPr>
          <w:i/>
          <w:iCs/>
        </w:rPr>
        <w:t xml:space="preserve">volatility</w:t>
      </w:r>
      <w:r>
        <w:t xml:space="preserve"> </w:t>
      </w:r>
      <w:r>
        <w:t xml:space="preserve">coefficient is partly mechanical and should not be</w:t>
      </w:r>
      <w:r>
        <w:t xml:space="preserve"> </w:t>
      </w:r>
      <w:r>
        <w:t xml:space="preserve">read as</w:t>
      </w:r>
      <w:r>
        <w:t xml:space="preserve"> </w:t>
      </w:r>
      <w:r>
        <w:t xml:space="preserve">“volatility predicts skill.”</w:t>
      </w:r>
      <w:r>
        <w:t xml:space="preserve"> </w:t>
      </w:r>
      <w:r>
        <w:t xml:space="preserve">Section 4.5 puts that to a scale-free test.</w:t>
      </w:r>
    </w:p>
    <w:bookmarkEnd w:id="57"/>
    <w:bookmarkStart w:id="61" w:name="double-sort-volatility-held-fixed"/>
    <w:p>
      <w:pPr>
        <w:pStyle w:val="Heading3"/>
      </w:pPr>
      <w:r>
        <w:t xml:space="preserve">4.4 Double sort (volatility held fixed)</w:t>
      </w:r>
    </w:p>
    <w:p>
      <w:pPr>
        <w:pStyle w:val="FirstParagraph"/>
      </w:pPr>
      <w:r>
        <w:t xml:space="preserve">The 2×2 sort tells the same story visually and numerically. Cells use lagged</w:t>
      </w:r>
      <w:r>
        <w:t xml:space="preserve"> </w:t>
      </w:r>
      <w:r>
        <w:t xml:space="preserve">correlation quartiles (thresholds 0.337 / 0.670) and a lagged-volatility median</w:t>
      </w:r>
      <w:r>
        <w:t xml:space="preserve"> </w:t>
      </w:r>
      <w:r>
        <w:t xml:space="preserve">split (0.137). LinearRegression shown (all models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;</w:t>
      </w:r>
      <w:r>
        <w:t xml:space="preserve"> </w:t>
      </w:r>
      <w:r>
        <w:t xml:space="preserve">Figure 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Low volatility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 volatility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0.00734 (n=3,095)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0.01032 (n=390)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correlation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0.00657 (n=250)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 0.01216 (n=2,760)</w:t>
            </w:r>
          </w:p>
        </w:tc>
      </w:tr>
    </w:tbl>
    <w:p>
      <w:pPr>
        <w:pStyle w:val="CaptionedFigure"/>
      </w:pPr>
      <w:r>
        <w:drawing>
          <wp:inline>
            <wp:extent cx="5486400" cy="3372716"/>
            <wp:effectExtent b="0" l="0" r="0" t="0"/>
            <wp:docPr descr="Figure 10. 2×2 double sort of mean absolute error — volatility dominates, not correlation." title="" id="59" name="Picture"/>
            <a:graphic>
              <a:graphicData uri="http://schemas.openxmlformats.org/drawingml/2006/picture">
                <pic:pic>
                  <pic:nvPicPr>
                    <pic:cNvPr descr="../figures/11_double_so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72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10. 2×2 double sort of mean absolute error — volatility dominates, not correlation.</w:t>
      </w:r>
    </w:p>
    <w:p>
      <w:pPr>
        <w:pStyle w:val="BodyText"/>
      </w:pPr>
      <w:r>
        <w:t xml:space="preserve">Two things stand out. First,</w:t>
      </w:r>
      <w:r>
        <w:t xml:space="preserve"> </w:t>
      </w:r>
      <w:r>
        <w:rPr>
          <w:b/>
          <w:bCs/>
        </w:rPr>
        <w:t xml:space="preserve">volatility dominates</w:t>
      </w:r>
      <w:r>
        <w:t xml:space="preserve">: moving from low to high</w:t>
      </w:r>
      <w:r>
        <w:t xml:space="preserve"> </w:t>
      </w:r>
      <w:r>
        <w:t xml:space="preserve">volatility roughly doubles MAE within each correlation column (e.g. within</w:t>
      </w:r>
      <w:r>
        <w:t xml:space="preserve"> </w:t>
      </w:r>
      <w:r>
        <w:t xml:space="preserve">low-correlation, +41%; within high-correlation, +85%). Second, the</w:t>
      </w:r>
      <w:r>
        <w:t xml:space="preserve"> </w:t>
      </w:r>
      <w:r>
        <w:rPr>
          <w:b/>
          <w:bCs/>
        </w:rPr>
        <w:t xml:space="preserve">correlation</w:t>
      </w:r>
      <w:r>
        <w:rPr>
          <w:b/>
          <w:bCs/>
        </w:rPr>
        <w:t xml:space="preserve"> </w:t>
      </w:r>
      <w:r>
        <w:rPr>
          <w:b/>
          <w:bCs/>
        </w:rPr>
        <w:t xml:space="preserve">effect is inconsistent once volatility is fixed</w:t>
      </w:r>
      <w:r>
        <w:t xml:space="preserve">: within the</w:t>
      </w:r>
      <w:r>
        <w:t xml:space="preserve"> </w:t>
      </w:r>
      <w:r>
        <w:rPr>
          <w:i/>
          <w:iCs/>
        </w:rPr>
        <w:t xml:space="preserve">low-volatility</w:t>
      </w:r>
      <w:r>
        <w:t xml:space="preserve"> </w:t>
      </w:r>
      <w:r>
        <w:t xml:space="preserve">row, high correlation actually has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MAE than low correlation</w:t>
      </w:r>
      <w:r>
        <w:t xml:space="preserve"> </w:t>
      </w:r>
      <w:r>
        <w:t xml:space="preserve">(0.00657 vs 0.00734), whereas within the</w:t>
      </w:r>
      <w:r>
        <w:t xml:space="preserve"> </w:t>
      </w:r>
      <w:r>
        <w:rPr>
          <w:i/>
          <w:iCs/>
        </w:rPr>
        <w:t xml:space="preserve">high-volatility</w:t>
      </w:r>
      <w:r>
        <w:t xml:space="preserve"> </w:t>
      </w:r>
      <w:r>
        <w:t xml:space="preserve">row it is somewhat</w:t>
      </w:r>
      <w:r>
        <w:t xml:space="preserve"> </w:t>
      </w:r>
      <w:r>
        <w:t xml:space="preserve">higher (0.01216 vs 0.01032). The sign flips — the hallmark of a variable with no</w:t>
      </w:r>
      <w:r>
        <w:t xml:space="preserve"> </w:t>
      </w:r>
      <w:r>
        <w:t xml:space="preserve">robust independent effect.</w:t>
      </w:r>
    </w:p>
    <w:p>
      <w:pPr>
        <w:pStyle w:val="BodyText"/>
      </w:pPr>
      <w:r>
        <w:t xml:space="preserve">Two honest caveats on the double sort: (i) the off-diagonal cells are thin</w:t>
      </w:r>
      <w:r>
        <w:t xml:space="preserve"> </w:t>
      </w:r>
      <w:r>
        <w:t xml:space="preserve">(n = 250 and 390) precisely because correlation and volatility co-move, so those</w:t>
      </w:r>
      <w:r>
        <w:t xml:space="preserve"> </w:t>
      </w:r>
      <w:r>
        <w:t xml:space="preserve">means are noisier; and (ii) within the coarse</w:t>
      </w:r>
      <w:r>
        <w:t xml:space="preserve"> </w:t>
      </w:r>
      <w:r>
        <w:t xml:space="preserve">“high-volatility”</w:t>
      </w:r>
      <w:r>
        <w:t xml:space="preserve"> </w:t>
      </w:r>
      <w:r>
        <w:t xml:space="preserve">bucket the</w:t>
      </w:r>
      <w:r>
        <w:t xml:space="preserve"> </w:t>
      </w:r>
      <w:r>
        <w:t xml:space="preserve">high-correlation days still tend to be the very highest-volatility days, which is</w:t>
      </w:r>
      <w:r>
        <w:t xml:space="preserve"> </w:t>
      </w:r>
      <w:r>
        <w:t xml:space="preserve">why a residual gap remains there. The continuous-control regression in Section 4.3,</w:t>
      </w:r>
      <w:r>
        <w:t xml:space="preserve"> </w:t>
      </w:r>
      <w:r>
        <w:t xml:space="preserve">which does not suffer from a coarse split, is the cleaner test and attributes that</w:t>
      </w:r>
      <w:r>
        <w:t xml:space="preserve"> </w:t>
      </w:r>
      <w:r>
        <w:t xml:space="preserve">residual gap to volatility. But note again that all of these cells are measured in</w:t>
      </w:r>
      <w:r>
        <w:t xml:space="preserve"> </w:t>
      </w:r>
      <w:r>
        <w:t xml:space="preserve">MAE — the metric that tracks move size. Section 4.5 asks whether the pattern</w:t>
      </w:r>
      <w:r>
        <w:t xml:space="preserve"> </w:t>
      </w:r>
      <w:r>
        <w:t xml:space="preserve">survives on a metric that does not.</w:t>
      </w:r>
    </w:p>
    <w:bookmarkEnd w:id="61"/>
    <w:bookmarkStart w:id="65" w:name="X24fd95661d3f591f73910738b9f68c3f158a3a5"/>
    <w:p>
      <w:pPr>
        <w:pStyle w:val="Heading3"/>
      </w:pPr>
      <w:r>
        <w:t xml:space="preserve">4.5 Directional accuracy: the scale-free test (the load-bearing result)</w:t>
      </w:r>
    </w:p>
    <w:p>
      <w:pPr>
        <w:pStyle w:val="FirstParagraph"/>
      </w:pPr>
      <w:r>
        <w:t xml:space="preserve">MAE is contaminated by the mechanical link to move size, so the honest question is</w:t>
      </w:r>
      <w:r>
        <w:t xml:space="preserve"> </w:t>
      </w:r>
      <w:r>
        <w:t xml:space="preserve">whether the models get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right more often in any regime — a metric</w:t>
      </w:r>
      <w:r>
        <w:t xml:space="preserve"> </w:t>
      </w:r>
      <w:r>
        <w:t xml:space="preserve">that does not inflate with volatility. We re-ran the 2×2 double sort using</w:t>
      </w:r>
      <w:r>
        <w:t xml:space="preserve"> </w:t>
      </w:r>
      <w:r>
        <w:t xml:space="preserve">directional accuracy for all five models (full table in</w:t>
      </w:r>
      <w:r>
        <w:t xml:space="preserve"> </w:t>
      </w:r>
      <w:r>
        <w:rPr>
          <w:rStyle w:val="VerbatimChar"/>
        </w:rPr>
        <w:t xml:space="preserve">results/double_sort.csv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8"/>
        <w:gridCol w:w="1532"/>
        <w:gridCol w:w="1532"/>
        <w:gridCol w:w="1532"/>
        <w:gridCol w:w="1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Low-corr / High-vol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Low-vol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High-corr / High-vol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RandomWalk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AR(1)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Here the strong story dissolves.</w:t>
      </w:r>
      <w:r>
        <w:t xml:space="preserve"> </w:t>
      </w:r>
      <w:r>
        <w:t xml:space="preserve">Every number sits between 45% and 54% — a</w:t>
      </w:r>
      <w:r>
        <w:t xml:space="preserve"> </w:t>
      </w:r>
      <w:r>
        <w:t xml:space="preserve">whisker around the 50% coin-flip. No model is meaningfully skillful in any cell,</w:t>
      </w:r>
      <w:r>
        <w:t xml:space="preserve"> </w:t>
      </w:r>
      <w:r>
        <w:t xml:space="preserve">and the naive random walk’s direction rule is actually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50% in three of</w:t>
      </w:r>
      <w:r>
        <w:t xml:space="preserve"> </w:t>
      </w:r>
      <w:r>
        <w:t xml:space="preserve">four cells. Crucially, the clean volatility ordering that dominated the MAE</w:t>
      </w:r>
      <w:r>
        <w:t xml:space="preserve"> </w:t>
      </w:r>
      <w:r>
        <w:t xml:space="preserve">results</w:t>
      </w:r>
      <w:r>
        <w:t xml:space="preserve"> </w:t>
      </w:r>
      <w:r>
        <w:rPr>
          <w:b/>
          <w:bCs/>
        </w:rPr>
        <w:t xml:space="preserve">does not reappear</w:t>
      </w:r>
      <w:r>
        <w:t xml:space="preserve">: for Ridge and Lasso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cell is</w:t>
      </w:r>
      <w:r>
        <w:t xml:space="preserve"> </w:t>
      </w:r>
      <w:r>
        <w:t xml:space="preserve">high-correlation/</w:t>
      </w:r>
      <w:r>
        <w:rPr>
          <w:b/>
          <w:bCs/>
        </w:rPr>
        <w:t xml:space="preserve">low</w:t>
      </w:r>
      <w:r>
        <w:t xml:space="preserve">-volatility (48.4%), not a high-volatility cell, and AR(1)</w:t>
      </w:r>
      <w:r>
        <w:t xml:space="preserve"> </w:t>
      </w:r>
      <w:r>
        <w:t xml:space="preserve">is essentially flat everywhere. Because correlation and volatility are collinear,</w:t>
      </w:r>
      <w:r>
        <w:t xml:space="preserve"> </w:t>
      </w:r>
      <w:r>
        <w:t xml:space="preserve">their marginal orderings coincide (both</w:t>
      </w:r>
      <w:r>
        <w:t xml:space="preserve"> </w:t>
      </w:r>
      <w:r>
        <w:t xml:space="preserve">“low”</w:t>
      </w:r>
      <w:r>
        <w:t xml:space="preserve"> </w:t>
      </w:r>
      <w:r>
        <w:t xml:space="preserve">cells edge out their</w:t>
      </w:r>
      <w:r>
        <w:t xml:space="preserve"> </w:t>
      </w:r>
      <w:r>
        <w:t xml:space="preserve">“high”</w:t>
      </w:r>
      <w:r>
        <w:t xml:space="preserve"> </w:t>
      </w:r>
      <w:r>
        <w:t xml:space="preserve">counterparts by ~1–5 percentage points), and this scale-free metric cannot cleanly</w:t>
      </w:r>
      <w:r>
        <w:t xml:space="preserve"> </w:t>
      </w:r>
      <w:r>
        <w:t xml:space="preserve">credit either one.</w:t>
      </w:r>
    </w:p>
    <w:p>
      <w:pPr>
        <w:pStyle w:val="BodyText"/>
      </w:pPr>
      <w:r>
        <w:t xml:space="preserve">The honest reading is therefore weaker than the MAE tables suggest, and we state</w:t>
      </w:r>
      <w:r>
        <w:t xml:space="preserve"> </w:t>
      </w:r>
      <w:r>
        <w:t xml:space="preserve">it plainly:</w:t>
      </w:r>
      <w:r>
        <w:t xml:space="preserve"> </w:t>
      </w:r>
      <w:r>
        <w:rPr>
          <w:b/>
          <w:bCs/>
        </w:rPr>
        <w:t xml:space="preserve">on the metric that is not mechanically inflated by volatility, there</w:t>
      </w:r>
      <w:r>
        <w:rPr>
          <w:b/>
          <w:bCs/>
        </w:rPr>
        <w:t xml:space="preserve"> </w:t>
      </w:r>
      <w:r>
        <w:rPr>
          <w:b/>
          <w:bCs/>
        </w:rPr>
        <w:t xml:space="preserve">is little genuine directional skill to allocate to any regime.</w:t>
      </w:r>
      <w:r>
        <w:t xml:space="preserve"> </w:t>
      </w:r>
      <w:r>
        <w:t xml:space="preserve">The models are</w:t>
      </w:r>
      <w:r>
        <w:t xml:space="preserve"> </w:t>
      </w:r>
      <w:r>
        <w:t xml:space="preserve">near coin-flips throughout. This is the load-bearing evidence, and it disciplines</w:t>
      </w:r>
      <w:r>
        <w:t xml:space="preserve"> </w:t>
      </w:r>
      <w:r>
        <w:t xml:space="preserve">every claim in the Discussion. Figure 11 shows the directional accuracy by model</w:t>
      </w:r>
      <w:r>
        <w:t xml:space="preserve"> </w:t>
      </w:r>
      <w:r>
        <w:t xml:space="preserve">and regime.</w:t>
      </w:r>
    </w:p>
    <w:p>
      <w:pPr>
        <w:pStyle w:val="CaptionedFigure"/>
      </w:pPr>
      <w:r>
        <w:drawing>
          <wp:inline>
            <wp:extent cx="5486400" cy="3334162"/>
            <wp:effectExtent b="0" l="0" r="0" t="0"/>
            <wp:docPr descr="Figure 11. Directional accuracy by model and correlation regime (dashed line = 50% chance)." title="" id="63" name="Picture"/>
            <a:graphic>
              <a:graphicData uri="http://schemas.openxmlformats.org/drawingml/2006/picture">
                <pic:pic>
                  <pic:nvPicPr>
                    <pic:cNvPr descr="../figures/09_directional_accuracy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34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11. Directional accuracy by model and correlation regime (dashed line = 50% chance).</w:t>
      </w:r>
    </w:p>
    <w:bookmarkEnd w:id="65"/>
    <w:bookmarkStart w:id="66" w:name="alpha-robustness"/>
    <w:p>
      <w:pPr>
        <w:pStyle w:val="Heading3"/>
      </w:pPr>
      <w:r>
        <w:t xml:space="preserve">4.6 Alpha robustness</w:t>
      </w:r>
    </w:p>
    <w:p>
      <w:pPr>
        <w:pStyle w:val="FirstParagraph"/>
      </w:pPr>
      <w:r>
        <w:t xml:space="preserve">To confirm the regularized-model results are not an artifact of the chosen</w:t>
      </w:r>
      <w:r>
        <w:t xml:space="preserve"> </w:t>
      </w:r>
      <w:r>
        <w:t xml:space="preserve">penalties, we re-ran Ridge and Lasso on SPY across an alpha grid (full table in</w:t>
      </w:r>
      <w:r>
        <w:t xml:space="preserve"> </w:t>
      </w:r>
      <w:r>
        <w:rPr>
          <w:rStyle w:val="VerbatimChar"/>
        </w:rPr>
        <w:t xml:space="preserve">results/alpha_robustness.csv</w:t>
      </w:r>
      <w:r>
        <w:t xml:space="preserve">). The high/low-regime MAE ratio is flat: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α values</w:t>
            </w:r>
          </w:p>
        </w:tc>
        <w:tc>
          <w:tcPr/>
          <w:p>
            <w:pPr>
              <w:pStyle w:val="Compact"/>
            </w:pPr>
            <w:r>
              <w:t xml:space="preserve">high/low MAE ratio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0.1, 1.0, 10.0</w:t>
            </w:r>
          </w:p>
        </w:tc>
        <w:tc>
          <w:tcPr/>
          <w:p>
            <w:pPr>
              <w:pStyle w:val="Compact"/>
            </w:pPr>
            <w:r>
              <w:t xml:space="preserve">1.70, 1.71, 1.72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Lasso</w:t>
            </w:r>
          </w:p>
        </w:tc>
        <w:tc>
          <w:tcPr/>
          <w:p>
            <w:pPr>
              <w:pStyle w:val="Compact"/>
            </w:pPr>
            <w:r>
              <w:t xml:space="preserve">1×10⁻⁴, 5×10⁻⁴, 1×10⁻³</w:t>
            </w:r>
          </w:p>
        </w:tc>
        <w:tc>
          <w:tcPr/>
          <w:p>
            <w:pPr>
              <w:pStyle w:val="Compact"/>
            </w:pPr>
            <w:r>
              <w:t xml:space="preserve">1.71, 1.72, 1.72</w:t>
            </w:r>
          </w:p>
        </w:tc>
      </w:tr>
    </w:tbl>
    <w:p>
      <w:pPr>
        <w:pStyle w:val="BodyText"/>
      </w:pPr>
      <w:r>
        <w:t xml:space="preserve">The descriptive regime gap is essentially invariant to the penalty, so nothing in</w:t>
      </w:r>
      <w:r>
        <w:t xml:space="preserve"> </w:t>
      </w:r>
      <w:r>
        <w:t xml:space="preserve">the paper depends on a specific tuned alpha. (These SPY-only ratios differ in</w:t>
      </w:r>
      <w:r>
        <w:t xml:space="preserve"> </w:t>
      </w:r>
      <w:r>
        <w:t xml:space="preserve">level from the pooled five-asset figures because they cover a single asset; the</w:t>
      </w:r>
      <w:r>
        <w:t xml:space="preserve"> </w:t>
      </w:r>
      <w:r>
        <w:t xml:space="preserve">point is their stability across α.)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discussion"/>
    <w:p>
      <w:pPr>
        <w:pStyle w:val="Heading2"/>
      </w:pPr>
      <w:r>
        <w:t xml:space="preserve">5. Discussion</w:t>
      </w:r>
    </w:p>
    <w:p>
      <w:pPr>
        <w:pStyle w:val="FirstParagraph"/>
      </w:pPr>
      <w:r>
        <w:t xml:space="preserve">These results have to be read carefully, because two different things are true at</w:t>
      </w:r>
      <w:r>
        <w:t xml:space="preserve"> </w:t>
      </w:r>
      <w:r>
        <w:t xml:space="preserve">two different levels of rigor.</w:t>
      </w:r>
    </w:p>
    <w:p>
      <w:pPr>
        <w:pStyle w:val="BodyText"/>
      </w:pPr>
      <w:r>
        <w:rPr>
          <w:b/>
          <w:bCs/>
        </w:rPr>
        <w:t xml:space="preserve">On error magnitude, the correlation effect is a volatility artifact.</w:t>
      </w:r>
      <w:r>
        <w:t xml:space="preserve"> </w:t>
      </w:r>
      <w:r>
        <w:t xml:space="preserve">The</w:t>
      </w:r>
      <w:r>
        <w:t xml:space="preserve"> </w:t>
      </w:r>
      <w:r>
        <w:t xml:space="preserve">descriptive regime effect is real — errors genuinely are ~60% larger in</w:t>
      </w:r>
      <w:r>
        <w:t xml:space="preserve"> </w:t>
      </w:r>
      <w:r>
        <w:t xml:space="preserve">high-correlation regimes — but it is not evidence of a correlation mechanism. Once</w:t>
      </w:r>
      <w:r>
        <w:t xml:space="preserve"> </w:t>
      </w:r>
      <w:r>
        <w:t xml:space="preserve">we control for volatility with a lagged, look-ahead-free proxy, the correlation</w:t>
      </w:r>
      <w:r>
        <w:t xml:space="preserve"> </w:t>
      </w:r>
      <w:r>
        <w:t xml:space="preserve">regime adds no explanatory power (joint p ≈ 0.72–0.79), and the double sort shows</w:t>
      </w:r>
      <w:r>
        <w:t xml:space="preserve"> </w:t>
      </w:r>
      <w:r>
        <w:t xml:space="preserve">the correlation effect changing sign across volatility buckets. This is exactly the</w:t>
      </w:r>
      <w:r>
        <w:t xml:space="preserve"> </w:t>
      </w:r>
      <w:r>
        <w:t xml:space="preserve">trap Forbes and Rigobon (2002) identified: because measured correlation is</w:t>
      </w:r>
      <w:r>
        <w:t xml:space="preserve"> </w:t>
      </w:r>
      <w:r>
        <w:t xml:space="preserve">mechanically higher when volatility is higher, an apparent</w:t>
      </w:r>
      <w:r>
        <w:t xml:space="preserve"> </w:t>
      </w:r>
      <w:r>
        <w:t xml:space="preserve">“correlation regime</w:t>
      </w:r>
      <w:r>
        <w:t xml:space="preserve"> </w:t>
      </w:r>
      <w:r>
        <w:t xml:space="preserve">effect”</w:t>
      </w:r>
      <w:r>
        <w:t xml:space="preserve"> </w:t>
      </w:r>
      <w:r>
        <w:t xml:space="preserve">can be a volatility effect in disguise. Forbes and Rigobon studied</w:t>
      </w:r>
      <w:r>
        <w:t xml:space="preserve"> </w:t>
      </w:r>
      <w:r>
        <w:rPr>
          <w:i/>
          <w:iCs/>
        </w:rPr>
        <w:t xml:space="preserve">cross-country</w:t>
      </w:r>
      <w:r>
        <w:t xml:space="preserve"> </w:t>
      </w:r>
      <w:r>
        <w:t xml:space="preserve">contagion rather than cross-sector co-movement; we extend their</w:t>
      </w:r>
      <w:r>
        <w:t xml:space="preserve"> </w:t>
      </w:r>
      <w:r>
        <w:t xml:space="preserve">heteroskedasticity-bias mechanism to a cross-sector, forecasting setting, which is</w:t>
      </w:r>
      <w:r>
        <w:t xml:space="preserve"> </w:t>
      </w:r>
      <w:r>
        <w:t xml:space="preserve">a natural analogy rather than a like-for-like replication of their result.</w:t>
      </w:r>
    </w:p>
    <w:p>
      <w:pPr>
        <w:pStyle w:val="BodyText"/>
      </w:pPr>
      <w:r>
        <w:rPr>
          <w:b/>
          <w:bCs/>
        </w:rPr>
        <w:t xml:space="preserve">But we must not over-claim the volatility side either.</w:t>
      </w:r>
      <w:r>
        <w:t xml:space="preserve"> </w:t>
      </w:r>
      <w:r>
        <w:t xml:space="preserve">The surviving volatility</w:t>
      </w:r>
      <w:r>
        <w:t xml:space="preserve"> </w:t>
      </w:r>
      <w:r>
        <w:t xml:space="preserve">coefficient is measured on absolute return error, and because our forecasts are</w:t>
      </w:r>
      <w:r>
        <w:t xml:space="preserve"> </w:t>
      </w:r>
      <w:r>
        <w:t xml:space="preserve">near zero, that error is close to the size of the move itself — so</w:t>
      </w:r>
      <w:r>
        <w:t xml:space="preserve"> </w:t>
      </w:r>
      <w:r>
        <w:t xml:space="preserve">“volatility</w:t>
      </w:r>
      <w:r>
        <w:t xml:space="preserve"> </w:t>
      </w:r>
      <w:r>
        <w:t xml:space="preserve">explains the error”</w:t>
      </w:r>
      <w:r>
        <w:t xml:space="preserve"> </w:t>
      </w:r>
      <w:r>
        <w:t xml:space="preserve">is partly</w:t>
      </w:r>
      <w:r>
        <w:t xml:space="preserve"> </w:t>
      </w:r>
      <w:r>
        <w:rPr>
          <w:i/>
          <w:iCs/>
        </w:rPr>
        <w:t xml:space="preserve">mechanical</w:t>
      </w:r>
      <w:r>
        <w:t xml:space="preserve">, not a discovery about forecast skill.</w:t>
      </w:r>
      <w:r>
        <w:t xml:space="preserve"> </w:t>
      </w:r>
      <w:r>
        <w:t xml:space="preserve">This is precisely why we lean on directional accuracy (Section 4.5), a metric that</w:t>
      </w:r>
      <w:r>
        <w:t xml:space="preserve"> </w:t>
      </w:r>
      <w:r>
        <w:t xml:space="preserve">is invariant to move size. On that metric the strong story evaporates: skill sits</w:t>
      </w:r>
      <w:r>
        <w:t xml:space="preserve"> </w:t>
      </w:r>
      <w:r>
        <w:t xml:space="preserve">between 45% and 54% in every cell, the volatility ordering does not cleanly</w:t>
      </w:r>
      <w:r>
        <w:t xml:space="preserve"> </w:t>
      </w:r>
      <w:r>
        <w:t xml:space="preserve">reappear (for Ridge/Lasso the worst cell is low-volatility), and neither</w:t>
      </w:r>
      <w:r>
        <w:t xml:space="preserve"> </w:t>
      </w:r>
      <w:r>
        <w:t xml:space="preserve">correlation nor volatility earns a robust edge. In other words, there is little</w:t>
      </w:r>
      <w:r>
        <w:t xml:space="preserve"> </w:t>
      </w:r>
      <w:r>
        <w:t xml:space="preserve">genuine directional predictability in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begin with — consistent with</w:t>
      </w:r>
      <w:r>
        <w:t xml:space="preserve"> </w:t>
      </w:r>
      <w:r>
        <w:t xml:space="preserve">the broader evidence that short-horizon equity returns are hard to forecast out of</w:t>
      </w:r>
      <w:r>
        <w:t xml:space="preserve"> </w:t>
      </w:r>
      <w:r>
        <w:t xml:space="preserve">sample (Welch and Goyal, 2008; Campbell and Thompson, 2008). The signal-to-noise</w:t>
      </w:r>
      <w:r>
        <w:t xml:space="preserve"> </w:t>
      </w:r>
      <w:r>
        <w:t xml:space="preserve">intuition from the introduction is best restated as a null: the sector-specific</w:t>
      </w:r>
      <w:r>
        <w:t xml:space="preserve"> </w:t>
      </w:r>
      <w:r>
        <w:t xml:space="preserve">signal these linear models can exploit is faint everywhere, and no regime turns it</w:t>
      </w:r>
      <w:r>
        <w:t xml:space="preserve"> </w:t>
      </w:r>
      <w:r>
        <w:t xml:space="preserve">into a reliable edge.</w:t>
      </w:r>
    </w:p>
    <w:p>
      <w:pPr>
        <w:pStyle w:val="BodyText"/>
      </w:pPr>
      <w:r>
        <w:rPr>
          <w:b/>
          <w:bCs/>
        </w:rPr>
        <w:t xml:space="preserve">Practical implication.</w:t>
      </w:r>
      <w:r>
        <w:t xml:space="preserve"> </w:t>
      </w:r>
      <w:r>
        <w:t xml:space="preserve">The usable takeaway is modest and honest. Volatility is</w:t>
      </w:r>
      <w:r>
        <w:t xml:space="preserve"> </w:t>
      </w:r>
      <w:r>
        <w:t xml:space="preserve">the right variable to watch for</w:t>
      </w:r>
      <w:r>
        <w:t xml:space="preserve"> </w:t>
      </w:r>
      <w:r>
        <w:rPr>
          <w:i/>
          <w:iCs/>
        </w:rPr>
        <w:t xml:space="preserve">how large forecast errors will be</w:t>
      </w:r>
      <w:r>
        <w:t xml:space="preserve"> </w:t>
      </w:r>
      <w:r>
        <w:t xml:space="preserve">— it is</w:t>
      </w:r>
      <w:r>
        <w:t xml:space="preserve"> </w:t>
      </w:r>
      <w:r>
        <w:t xml:space="preserve">observable at</w:t>
      </w:r>
      <w:r>
        <w:t xml:space="preserve"> </w:t>
      </w:r>
      <w:r>
        <w:rPr>
          <w:i/>
          <w:iCs/>
        </w:rPr>
        <w:t xml:space="preserve">t−1</w:t>
      </w:r>
      <w:r>
        <w:t xml:space="preserve"> </w:t>
      </w:r>
      <w:r>
        <w:t xml:space="preserve">and dominates the error magnitude — and cross-sector</w:t>
      </w:r>
      <w:r>
        <w:t xml:space="preserve"> </w:t>
      </w:r>
      <w:r>
        <w:t xml:space="preserve">correlation adds nothing beyond it. But large errors are not the same as lost</w:t>
      </w:r>
      <w:r>
        <w:t xml:space="preserve"> </w:t>
      </w:r>
      <w:r>
        <w:t xml:space="preserve">skill: on a scale-free basis the models are near coin-flips regardless of regime,</w:t>
      </w:r>
      <w:r>
        <w:t xml:space="preserve"> </w:t>
      </w:r>
      <w:r>
        <w:t xml:space="preserve">so neither correlation nor volatility should be sold as a switch that turns</w:t>
      </w:r>
      <w:r>
        <w:t xml:space="preserve"> </w:t>
      </w:r>
      <w:r>
        <w:t xml:space="preserve">short-horizon forecasts on or off. The most defensible advice is to size positions</w:t>
      </w:r>
      <w:r>
        <w:t xml:space="preserve"> </w:t>
      </w:r>
      <w:r>
        <w:t xml:space="preserve">by volatility and to distrust any single headline accuracy number.</w:t>
      </w:r>
    </w:p>
    <w:bookmarkStart w:id="68" w:name="limitations"/>
    <w:p>
      <w:pPr>
        <w:pStyle w:val="Heading3"/>
      </w:pPr>
      <w:r>
        <w:t xml:space="preserve">5.1 Limitations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and volatility cannot be fully separated observationally.</w:t>
      </w:r>
      <w:r>
        <w:t xml:space="preserve"> </w:t>
      </w:r>
      <w:r>
        <w:t xml:space="preserve">They</w:t>
      </w:r>
      <w:r>
        <w:t xml:space="preserve"> </w:t>
      </w:r>
      <w:r>
        <w:t xml:space="preserve">are collinear by nature (r = 0.64), and the cells that would most cleanly</w:t>
      </w:r>
      <w:r>
        <w:t xml:space="preserve"> </w:t>
      </w:r>
      <w:r>
        <w:t xml:space="preserve">separate them (high-vol/low-corr, low-vol/high-corr) are the sparsest (n = 390,</w:t>
      </w:r>
      <w:r>
        <w:t xml:space="preserve"> </w:t>
      </w:r>
      <w:r>
        <w:t xml:space="preserve">250). Our conclusion — no independent correlation effect — is well supported by</w:t>
      </w:r>
      <w:r>
        <w:t xml:space="preserve"> </w:t>
      </w:r>
      <w:r>
        <w:t xml:space="preserve">the continuous-control regression, but the double sort’s thin off-diagonal cells</w:t>
      </w:r>
      <w:r>
        <w:t xml:space="preserve"> </w:t>
      </w:r>
      <w:r>
        <w:t xml:space="preserve">are a genuine data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volatility proxy.</w:t>
      </w:r>
      <w:r>
        <w:t xml:space="preserve"> </w:t>
      </w:r>
      <w:r>
        <w:t xml:space="preserve">We use 90-day realized volatility of SPY. Alternative</w:t>
      </w:r>
      <w:r>
        <w:t xml:space="preserve"> </w:t>
      </w:r>
      <w:r>
        <w:t xml:space="preserve">proxies (VIX, GARCH-based conditional volatility) could shift the exact</w:t>
      </w:r>
      <w:r>
        <w:t xml:space="preserve"> </w:t>
      </w:r>
      <w:r>
        <w:t xml:space="preserve">coefficients, though the collinearity and the direction of the result are</w:t>
      </w:r>
      <w:r>
        <w:t xml:space="preserve"> </w:t>
      </w:r>
      <w:r>
        <w:t xml:space="preserve">unlikely to reverse.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Linear, short-horizon models only.</w:t>
      </w:r>
      <w:r>
        <w:t xml:space="preserve"> </w:t>
      </w:r>
      <w:r>
        <w:t xml:space="preserve">Non-linear models (gradient boosting,</w:t>
      </w:r>
      <w:r>
        <w:t xml:space="preserve"> </w:t>
      </w:r>
      <w:r>
        <w:t xml:space="preserve">LSTMs) might behave differently, though they face the same noisy data in</w:t>
      </w:r>
      <w:r>
        <w:t xml:space="preserve"> </w:t>
      </w:r>
      <w:r>
        <w:t xml:space="preserve">high-volatility states.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Equity ETFs, U.S. only, 2015–2026.</w:t>
      </w:r>
      <w:r>
        <w:t xml:space="preserve"> </w:t>
      </w:r>
      <w:r>
        <w:t xml:space="preserve">Generalization to other asset classes,</w:t>
      </w:r>
      <w:r>
        <w:t xml:space="preserve"> </w:t>
      </w:r>
      <w:r>
        <w:t xml:space="preserve">horizons, or periods is untested.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Overlapping, dependent observations.</w:t>
      </w:r>
      <w:r>
        <w:t xml:space="preserve"> </w:t>
      </w:r>
      <w:r>
        <w:t xml:space="preserve">The Section 4.2 p-values overstate</w:t>
      </w:r>
      <w:r>
        <w:t xml:space="preserve"> </w:t>
      </w:r>
      <w:r>
        <w:t xml:space="preserve">certainty; the HAC-based Section 4.3 inference is the reliable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MAE is partly mechanical.</w:t>
      </w:r>
      <w:r>
        <w:t xml:space="preserve"> </w:t>
      </w:r>
      <w:r>
        <w:t xml:space="preserve">Because forecasts are near zero, absolute return</w:t>
      </w:r>
      <w:r>
        <w:t xml:space="preserve"> </w:t>
      </w:r>
      <w:r>
        <w:t xml:space="preserve">error ≈ move size, so the volatility result on MAE is partly definitional. We</w:t>
      </w:r>
      <w:r>
        <w:t xml:space="preserve"> </w:t>
      </w:r>
      <w:r>
        <w:t xml:space="preserve">rely on directional accuracy (Section 4.5) to avoid this trap — but that metric,</w:t>
      </w:r>
      <w:r>
        <w:t xml:space="preserve"> </w:t>
      </w:r>
      <w:r>
        <w:t xml:space="preserve">being near 50% everywhere, offers little skill to explain in the first place.</w:t>
      </w:r>
    </w:p>
    <w:bookmarkEnd w:id="68"/>
    <w:bookmarkStart w:id="69" w:name="future-work"/>
    <w:p>
      <w:pPr>
        <w:pStyle w:val="Heading3"/>
      </w:pPr>
      <w:r>
        <w:t xml:space="preserve">5.2 Future work</w:t>
      </w:r>
    </w:p>
    <w:p>
      <w:pPr>
        <w:pStyle w:val="FirstParagraph"/>
      </w:pPr>
      <w:r>
        <w:t xml:space="preserve">Promising extensions: (i) a heteroskedasticity-corrected correlation measure à la</w:t>
      </w:r>
      <w:r>
        <w:t xml:space="preserve"> </w:t>
      </w:r>
      <w:r>
        <w:t xml:space="preserve">Forbes and Rigobon to test whether</w:t>
      </w:r>
      <w:r>
        <w:t xml:space="preserve"> </w:t>
      </w:r>
      <w:r>
        <w:rPr>
          <w:i/>
          <w:iCs/>
        </w:rPr>
        <w:t xml:space="preserve">volatility-adjusted</w:t>
      </w:r>
      <w:r>
        <w:t xml:space="preserve"> </w:t>
      </w:r>
      <w:r>
        <w:t xml:space="preserve">correlation has any</w:t>
      </w:r>
      <w:r>
        <w:t xml:space="preserve"> </w:t>
      </w:r>
      <w:r>
        <w:t xml:space="preserve">residual predictive content; (ii) a regime-switching / HMM regime definition</w:t>
      </w:r>
      <w:r>
        <w:t xml:space="preserve"> </w:t>
      </w:r>
      <w:r>
        <w:t xml:space="preserve">(Hamilton, 1989; Ang and Bekaert, 2002) instead of static quartiles; (iii) adding</w:t>
      </w:r>
      <w:r>
        <w:t xml:space="preserve"> </w:t>
      </w:r>
      <w:r>
        <w:t xml:space="preserve">non-linear forecasters and forecast-combination schemes, which have improved</w:t>
      </w:r>
      <w:r>
        <w:t xml:space="preserve"> </w:t>
      </w:r>
      <w:r>
        <w:t xml:space="preserve">out-of-sample equity prediction elsewhere (Rapach, Strauss, and Zhou, 2010); and</w:t>
      </w:r>
      <w:r>
        <w:t xml:space="preserve"> </w:t>
      </w:r>
      <w:r>
        <w:t xml:space="preserve">(iv) testing whether a</w:t>
      </w:r>
      <w:r>
        <w:t xml:space="preserve"> </w:t>
      </w:r>
      <w:r>
        <w:rPr>
          <w:b/>
          <w:bCs/>
        </w:rPr>
        <w:t xml:space="preserve">volatility-aware</w:t>
      </w:r>
      <w:r>
        <w:t xml:space="preserve"> </w:t>
      </w:r>
      <w:r>
        <w:t xml:space="preserve">meta-model (scaling back forecasts in</w:t>
      </w:r>
      <w:r>
        <w:t xml:space="preserve"> </w:t>
      </w:r>
      <w:r>
        <w:t xml:space="preserve">high-volatility states) improves realized accuracy.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1" w:name="conclusion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set out to test whether cross-sector correlation regimes shape the</w:t>
      </w:r>
      <w:r>
        <w:t xml:space="preserve"> </w:t>
      </w:r>
      <w:r>
        <w:t xml:space="preserve">accuracy of equity forecasting models. The answer is more interesting than a</w:t>
      </w:r>
      <w:r>
        <w:t xml:space="preserve"> </w:t>
      </w:r>
      <w:r>
        <w:t xml:space="preserve">simple yes: correlation regimes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matter enormously, but that appearance</w:t>
      </w:r>
      <w:r>
        <w:t xml:space="preserve"> </w:t>
      </w:r>
      <w:r>
        <w:t xml:space="preserve">is a mirage — and the lesson is in how the mirage forms and how cheaply it</w:t>
      </w:r>
      <w:r>
        <w:t xml:space="preserve"> </w:t>
      </w:r>
      <w:r>
        <w:t xml:space="preserve">dissolves.</w:t>
      </w:r>
    </w:p>
    <w:p>
      <w:pPr>
        <w:pStyle w:val="BodyText"/>
      </w:pPr>
      <w:r>
        <w:t xml:space="preserve">Three findings, in order of what they teach: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naive result is striking and real — descriptively.</w:t>
      </w:r>
      <w:r>
        <w:t xml:space="preserve"> </w:t>
      </w:r>
      <w:r>
        <w:t xml:space="preserve">Across five models</w:t>
      </w:r>
      <w:r>
        <w:t xml:space="preserve"> </w:t>
      </w:r>
      <w:r>
        <w:t xml:space="preserve">and eleven years of data, short-horizon forecast errors are ~58–62% larger and</w:t>
      </w:r>
      <w:r>
        <w:t xml:space="preserve"> </w:t>
      </w:r>
      <w:r>
        <w:t xml:space="preserve">directional accuracy falls to chance in high cross-sector correlation regimes.</w:t>
      </w:r>
      <w:r>
        <w:t xml:space="preserve"> </w:t>
      </w:r>
      <w:r>
        <w:t xml:space="preserve">Every parametric and non-parametric test rejects the null that accuracy is</w:t>
      </w:r>
      <w:r>
        <w:t xml:space="preserve"> </w:t>
      </w:r>
      <w:r>
        <w:t xml:space="preserve">independent of the regime. Taken alone, this looks like a clean, publishable</w:t>
      </w:r>
      <w:r>
        <w:t xml:space="preserve"> </w:t>
      </w:r>
      <w:r>
        <w:t xml:space="preserve">“correlation kills predictability”</w:t>
      </w:r>
      <w:r>
        <w:t xml:space="preserve"> </w:t>
      </w:r>
      <w:r>
        <w:t xml:space="preserve">story.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That story does not survive contact with its own confound.</w:t>
      </w:r>
      <w:r>
        <w:t xml:space="preserve"> </w:t>
      </w:r>
      <w:r>
        <w:t xml:space="preserve">High</w:t>
      </w:r>
      <w:r>
        <w:t xml:space="preserve"> </w:t>
      </w:r>
      <w:r>
        <w:t xml:space="preserve">correlation is collinear with high volatility (r = 0.64), and estimated</w:t>
      </w:r>
      <w:r>
        <w:t xml:space="preserve"> </w:t>
      </w:r>
      <w:r>
        <w:t xml:space="preserve">correlation is itself inflated by volatility (Forbes and Rigobon, 2002). When we</w:t>
      </w:r>
      <w:r>
        <w:t xml:space="preserve"> </w:t>
      </w:r>
      <w:r>
        <w:t xml:space="preserve">control for a lagged, look-ahead-free volatility proxy, the correlation regime’s</w:t>
      </w:r>
      <w:r>
        <w:t xml:space="preserve"> </w:t>
      </w:r>
      <w:r>
        <w:t xml:space="preserve">explanatory power vanishes — its coefficient falls to zero and loses</w:t>
      </w:r>
      <w:r>
        <w:t xml:space="preserve"> </w:t>
      </w:r>
      <w:r>
        <w:t xml:space="preserve">significance (joint-regression p ≈ 0.72–0.79 across all models; R² unchanged),</w:t>
      </w:r>
      <w:r>
        <w:t xml:space="preserve"> </w:t>
      </w:r>
      <w:r>
        <w:t xml:space="preserve">while volatility stays overwhelmingly significant (p ≈ 3–6×10⁻⁶). The double</w:t>
      </w:r>
      <w:r>
        <w:t xml:space="preserve"> </w:t>
      </w:r>
      <w:r>
        <w:t xml:space="preserve">sort drives the point home: hold volatility fixed and the correlation effect</w:t>
      </w:r>
      <w:r>
        <w:t xml:space="preserve"> </w:t>
      </w:r>
      <w:r>
        <w:t xml:space="preserve">shrinks to noise and even flips sign.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What survives is a caveat, not a new predictor.</w:t>
      </w:r>
      <w:r>
        <w:t xml:space="preserve"> </w:t>
      </w:r>
      <w:r>
        <w:t xml:space="preserve">Stripping away the</w:t>
      </w:r>
      <w:r>
        <w:t xml:space="preserve"> </w:t>
      </w:r>
      <w:r>
        <w:t xml:space="preserve">correlation mirage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leave a shiny</w:t>
      </w:r>
      <w:r>
        <w:t xml:space="preserve"> </w:t>
      </w:r>
      <w:r>
        <w:t xml:space="preserve">“volatility predicts skill”</w:t>
      </w:r>
      <w:r>
        <w:t xml:space="preserve"> </w:t>
      </w:r>
      <w:r>
        <w:t xml:space="preserve">result</w:t>
      </w:r>
      <w:r>
        <w:t xml:space="preserve"> </w:t>
      </w:r>
      <w:r>
        <w:t xml:space="preserve">in its place — and claiming one would repeat the very mistake the paper warns</w:t>
      </w:r>
      <w:r>
        <w:t xml:space="preserve"> </w:t>
      </w:r>
      <w:r>
        <w:t xml:space="preserve">against. Volatility dominates the</w:t>
      </w:r>
      <w:r>
        <w:t xml:space="preserve"> </w:t>
      </w:r>
      <w:r>
        <w:rPr>
          <w:i/>
          <w:iCs/>
        </w:rPr>
        <w:t xml:space="preserve">error magnitude</w:t>
      </w:r>
      <w:r>
        <w:t xml:space="preserve">, but that is partly</w:t>
      </w:r>
      <w:r>
        <w:t xml:space="preserve"> </w:t>
      </w:r>
      <w:r>
        <w:t xml:space="preserve">mechanical: with forecasts near zero, absolute error is essentially move size.</w:t>
      </w:r>
      <w:r>
        <w:t xml:space="preserve"> </w:t>
      </w:r>
      <w:r>
        <w:t xml:space="preserve">On directional accuracy — the metric that does not inflate with volatility —</w:t>
      </w:r>
      <w:r>
        <w:t xml:space="preserve"> </w:t>
      </w:r>
      <w:r>
        <w:t xml:space="preserve">skill is 45–54% in every regime, a whisker from a coin flip, with no clean</w:t>
      </w:r>
      <w:r>
        <w:t xml:space="preserve"> </w:t>
      </w:r>
      <w:r>
        <w:t xml:space="preserve">ordering by volatility or correlation. The blunt truth is that there is little</w:t>
      </w:r>
      <w:r>
        <w:t xml:space="preserve"> </w:t>
      </w:r>
      <w:r>
        <w:t xml:space="preserve">short-horizon directional predictability here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regime to switch on or</w:t>
      </w:r>
      <w:r>
        <w:t xml:space="preserve"> </w:t>
      </w:r>
      <w:r>
        <w:t xml:space="preserve">off, exactly as the out-of-sample predictability literature would lead us to</w:t>
      </w:r>
      <w:r>
        <w:t xml:space="preserve"> </w:t>
      </w:r>
      <w:r>
        <w:t xml:space="preserve">expect (Welch and Goyal, 2008; Campbell and Thompson, 2008).</w:t>
      </w:r>
    </w:p>
    <w:p>
      <w:pPr>
        <w:pStyle w:val="FirstParagraph"/>
      </w:pPr>
      <w:r>
        <w:rPr>
          <w:b/>
          <w:bCs/>
        </w:rPr>
        <w:t xml:space="preserve">The real contribution is methodological, and it is the headline.</w:t>
      </w:r>
      <w:r>
        <w:t xml:space="preserve"> </w:t>
      </w:r>
      <w:r>
        <w:t xml:space="preserve">A</w:t>
      </w:r>
      <w:r>
        <w:t xml:space="preserve"> </w:t>
      </w:r>
      <w:r>
        <w:t xml:space="preserve">correlation-regime effect that looked statistically bulletproof — a ~60% error gap,</w:t>
      </w:r>
      <w:r>
        <w:t xml:space="preserve"> </w:t>
      </w:r>
      <w:r>
        <w:t xml:space="preserve">p ≪ 0.001, replicated across five models and two tests — turned out to be a</w:t>
      </w:r>
      <w:r>
        <w:t xml:space="preserve"> </w:t>
      </w:r>
      <w:r>
        <w:t xml:space="preserve">volatility shadow. The cure was cheap and decisive: add one lagged volatility</w:t>
      </w:r>
      <w:r>
        <w:t xml:space="preserve"> </w:t>
      </w:r>
      <w:r>
        <w:t xml:space="preserve">control and read the coefficient (it fell to zero), then re-check on a scale-free</w:t>
      </w:r>
      <w:r>
        <w:t xml:space="preserve"> </w:t>
      </w:r>
      <w:r>
        <w:t xml:space="preserve">metric (the pattern vanished). This generalizes. Regime studies that sort on</w:t>
      </w:r>
      <w:r>
        <w:t xml:space="preserve"> </w:t>
      </w:r>
      <w:r>
        <w:t xml:space="preserve">correlation, dispersion, or breadth are all exposed to the same volatility</w:t>
      </w:r>
      <w:r>
        <w:t xml:space="preserve"> </w:t>
      </w:r>
      <w:r>
        <w:t xml:space="preserve">confound, and often to a mechanical-metric trap on top of it.</w:t>
      </w:r>
      <w:r>
        <w:t xml:space="preserve"> </w:t>
      </w:r>
      <w:r>
        <w:rPr>
          <w:b/>
          <w:bCs/>
        </w:rPr>
        <w:t xml:space="preserve">A tiny p-value</w:t>
      </w:r>
      <w:r>
        <w:rPr>
          <w:b/>
          <w:bCs/>
        </w:rPr>
        <w:t xml:space="preserve"> </w:t>
      </w:r>
      <w:r>
        <w:rPr>
          <w:b/>
          <w:bCs/>
        </w:rPr>
        <w:t xml:space="preserve">certifies neither a real effect nor genuine forecast skill.</w:t>
      </w:r>
      <w:r>
        <w:t xml:space="preserve"> </w:t>
      </w:r>
      <w:r>
        <w:t xml:space="preserve">Before believing a</w:t>
      </w:r>
      <w:r>
        <w:t xml:space="preserve"> </w:t>
      </w:r>
      <w:r>
        <w:t xml:space="preserve">regime</w:t>
      </w:r>
      <w:r>
        <w:t xml:space="preserve"> </w:t>
      </w:r>
      <w:r>
        <w:t xml:space="preserve">“controls”</w:t>
      </w:r>
      <w:r>
        <w:t xml:space="preserve"> </w:t>
      </w:r>
      <w:r>
        <w:t xml:space="preserve">predictability, control for volatility and test on a metric that</w:t>
      </w:r>
      <w:r>
        <w:t xml:space="preserve"> </w:t>
      </w:r>
      <w:r>
        <w:t xml:space="preserve">move size cannot inflate. When we did both, the impressive result dissolved — and</w:t>
      </w:r>
      <w:r>
        <w:t xml:space="preserve"> </w:t>
      </w:r>
      <w:r>
        <w:t xml:space="preserve">saying so plainly is the point.</w:t>
      </w:r>
    </w:p>
    <w:p>
      <w:r>
        <w:pict>
          <v:rect style="width:0;height:1.5pt" o:hralign="center" o:hrstd="t" o:hr="t"/>
        </w:pict>
      </w:r>
    </w:p>
    <w:bookmarkEnd w:id="71"/>
    <w:bookmarkStart w:id="72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Andersen, T. G., T. Bollerslev, F. X. Diebold, and P. Labys. 2003.</w:t>
      </w:r>
      <w:r>
        <w:t xml:space="preserve"> </w:t>
      </w:r>
      <w:r>
        <w:t xml:space="preserve">“Modeling and</w:t>
      </w:r>
      <w:r>
        <w:t xml:space="preserve"> </w:t>
      </w:r>
      <w:r>
        <w:t xml:space="preserve">Forecasting Realized Volatility.”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71 (2): 579–625.</w:t>
      </w:r>
      <w:r>
        <w:t xml:space="preserve"> </w:t>
      </w:r>
      <w:r>
        <w:t xml:space="preserve">https://doi.org/10.1111/1468-0262.00418</w:t>
      </w:r>
    </w:p>
    <w:p>
      <w:pPr>
        <w:pStyle w:val="BodyText"/>
      </w:pPr>
      <w:r>
        <w:t xml:space="preserve">Ang, A., and G. Bekaert. 2002.</w:t>
      </w:r>
      <w:r>
        <w:t xml:space="preserve"> </w:t>
      </w:r>
      <w:r>
        <w:t xml:space="preserve">“International Asset Allocation With Regime</w:t>
      </w:r>
      <w:r>
        <w:t xml:space="preserve"> </w:t>
      </w:r>
      <w:r>
        <w:t xml:space="preserve">Shifts.”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15 (4): 1137–1187.</w:t>
      </w:r>
      <w:r>
        <w:t xml:space="preserve"> </w:t>
      </w:r>
      <w:r>
        <w:t xml:space="preserve">https://doi.org/10.1093/rfs/15.4.1137</w:t>
      </w:r>
    </w:p>
    <w:p>
      <w:pPr>
        <w:pStyle w:val="BodyText"/>
      </w:pPr>
      <w:r>
        <w:t xml:space="preserve">Ang, A., and J. Chen. 2002.</w:t>
      </w:r>
      <w:r>
        <w:t xml:space="preserve"> </w:t>
      </w:r>
      <w:r>
        <w:t xml:space="preserve">“Asymmetric Correlations of Equity Portfolios.”</w:t>
      </w:r>
      <w:r>
        <w:t xml:space="preserve"> </w:t>
      </w:r>
      <w:r>
        <w:rPr>
          <w:i/>
          <w:iCs/>
        </w:rPr>
        <w:t xml:space="preserve">Journal of Financial Economics</w:t>
      </w:r>
      <w:r>
        <w:t xml:space="preserve"> </w:t>
      </w:r>
      <w:r>
        <w:t xml:space="preserve">63 (3): 443–494.</w:t>
      </w:r>
      <w:r>
        <w:t xml:space="preserve"> </w:t>
      </w:r>
      <w:r>
        <w:t xml:space="preserve">https://doi.org/10.1016/S0304-405X(02)00068-5</w:t>
      </w:r>
    </w:p>
    <w:p>
      <w:pPr>
        <w:pStyle w:val="BodyText"/>
      </w:pPr>
      <w:r>
        <w:t xml:space="preserve">Bollerslev, T. 1986.</w:t>
      </w:r>
      <w:r>
        <w:t xml:space="preserve"> </w:t>
      </w:r>
      <w:r>
        <w:t xml:space="preserve">“Generalized Autoregressive Conditional Heteroskedasticity.”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31 (3): 307–327.</w:t>
      </w:r>
      <w:r>
        <w:t xml:space="preserve"> </w:t>
      </w:r>
      <w:r>
        <w:t xml:space="preserve">https://doi.org/10.1016/0304-4076(86)90063-1</w:t>
      </w:r>
    </w:p>
    <w:p>
      <w:pPr>
        <w:pStyle w:val="BodyText"/>
      </w:pPr>
      <w:r>
        <w:t xml:space="preserve">Campbell, J. Y., and S. B. Thompson. 2008.</w:t>
      </w:r>
      <w:r>
        <w:t xml:space="preserve"> </w:t>
      </w:r>
      <w:r>
        <w:t xml:space="preserve">“Predicting Excess Stock Returns Out of</w:t>
      </w:r>
      <w:r>
        <w:t xml:space="preserve"> </w:t>
      </w:r>
      <w:r>
        <w:t xml:space="preserve">Sample: Can Anything Beat the Historical Average?”</w:t>
      </w:r>
      <w:r>
        <w:t xml:space="preserve"> </w:t>
      </w:r>
      <w:r>
        <w:rPr>
          <w:i/>
          <w:iCs/>
        </w:rPr>
        <w:t xml:space="preserve">The Review of Financial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</w:t>
      </w:r>
      <w:r>
        <w:t xml:space="preserve"> </w:t>
      </w:r>
      <w:r>
        <w:t xml:space="preserve">21 (4): 1509–1531. https://doi.org/10.1093/rfs/hhm055</w:t>
      </w:r>
    </w:p>
    <w:p>
      <w:pPr>
        <w:pStyle w:val="BodyText"/>
      </w:pPr>
      <w:r>
        <w:t xml:space="preserve">Cont, R. 2001.</w:t>
      </w:r>
      <w:r>
        <w:t xml:space="preserve"> </w:t>
      </w:r>
      <w:r>
        <w:t xml:space="preserve">“Empirical Properties of Asset Returns: Stylized Facts and</w:t>
      </w:r>
      <w:r>
        <w:t xml:space="preserve"> </w:t>
      </w:r>
      <w:r>
        <w:t xml:space="preserve">Statistical Issues.”</w:t>
      </w:r>
      <w:r>
        <w:t xml:space="preserve"> </w:t>
      </w:r>
      <w:r>
        <w:rPr>
          <w:i/>
          <w:iCs/>
        </w:rPr>
        <w:t xml:space="preserve">Quantitative Finance</w:t>
      </w:r>
      <w:r>
        <w:t xml:space="preserve"> </w:t>
      </w:r>
      <w:r>
        <w:t xml:space="preserve">1 (2): 223–236.</w:t>
      </w:r>
      <w:r>
        <w:t xml:space="preserve"> </w:t>
      </w:r>
      <w:r>
        <w:t xml:space="preserve">https://doi.org/10.1088/1469-7688/1/2/304</w:t>
      </w:r>
    </w:p>
    <w:p>
      <w:pPr>
        <w:pStyle w:val="BodyText"/>
      </w:pPr>
      <w:r>
        <w:t xml:space="preserve">Diebold, F. X., and R. S. Mariano. 1995.</w:t>
      </w:r>
      <w:r>
        <w:t xml:space="preserve"> </w:t>
      </w:r>
      <w:r>
        <w:t xml:space="preserve">“Comparing Predictive Accuracy.”</w:t>
      </w:r>
      <w:r>
        <w:t xml:space="preserve"> </w:t>
      </w:r>
      <w:r>
        <w:rPr>
          <w:i/>
          <w:iCs/>
        </w:rPr>
        <w:t xml:space="preserve">Journal</w:t>
      </w:r>
      <w:r>
        <w:rPr>
          <w:i/>
          <w:iCs/>
        </w:rPr>
        <w:t xml:space="preserve"> </w:t>
      </w:r>
      <w:r>
        <w:rPr>
          <w:i/>
          <w:iCs/>
        </w:rPr>
        <w:t xml:space="preserve">of Business &amp; Economic Statistics</w:t>
      </w:r>
      <w:r>
        <w:t xml:space="preserve"> </w:t>
      </w:r>
      <w:r>
        <w:t xml:space="preserve">13 (3): 253–263.</w:t>
      </w:r>
      <w:r>
        <w:t xml:space="preserve"> </w:t>
      </w:r>
      <w:r>
        <w:t xml:space="preserve">https://doi.org/10.1080/07350015.1995.10524599</w:t>
      </w:r>
    </w:p>
    <w:p>
      <w:pPr>
        <w:pStyle w:val="BodyText"/>
      </w:pPr>
      <w:r>
        <w:t xml:space="preserve">Engle, R. F. 1982.</w:t>
      </w:r>
      <w:r>
        <w:t xml:space="preserve"> </w:t>
      </w:r>
      <w:r>
        <w:t xml:space="preserve">“Autoregressive Conditional Heteroscedasticity with Estimates</w:t>
      </w:r>
      <w:r>
        <w:t xml:space="preserve"> </w:t>
      </w:r>
      <w:r>
        <w:t xml:space="preserve">of the Variance of United Kingdom Inflation.”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50 (4): 987–1008.</w:t>
      </w:r>
      <w:r>
        <w:t xml:space="preserve"> </w:t>
      </w:r>
      <w:r>
        <w:t xml:space="preserve">https://doi.org/10.2307/1912773</w:t>
      </w:r>
    </w:p>
    <w:p>
      <w:pPr>
        <w:pStyle w:val="BodyText"/>
      </w:pPr>
      <w:r>
        <w:t xml:space="preserve">Forbes, K. J., and R. Rigobon. 2002.</w:t>
      </w:r>
      <w:r>
        <w:t xml:space="preserve"> </w:t>
      </w:r>
      <w:r>
        <w:t xml:space="preserve">“No Contagion, Only Interdependence:</w:t>
      </w:r>
      <w:r>
        <w:t xml:space="preserve"> </w:t>
      </w:r>
      <w:r>
        <w:t xml:space="preserve">Measuring Stock Market Comovements.”</w:t>
      </w:r>
      <w:r>
        <w:t xml:space="preserve"> </w:t>
      </w:r>
      <w:r>
        <w:rPr>
          <w:i/>
          <w:iCs/>
        </w:rPr>
        <w:t xml:space="preserve">The Journal of Finance</w:t>
      </w:r>
      <w:r>
        <w:t xml:space="preserve"> </w:t>
      </w:r>
      <w:r>
        <w:t xml:space="preserve">57 (5): 2223–2261.</w:t>
      </w:r>
      <w:r>
        <w:t xml:space="preserve"> </w:t>
      </w:r>
      <w:r>
        <w:t xml:space="preserve">https://doi.org/10.1111/0022-1082.00494</w:t>
      </w:r>
    </w:p>
    <w:p>
      <w:pPr>
        <w:pStyle w:val="BodyText"/>
      </w:pPr>
      <w:r>
        <w:t xml:space="preserve">Gu, S., B. Kelly, and D. Xiu. 2020.</w:t>
      </w:r>
      <w:r>
        <w:t xml:space="preserve"> </w:t>
      </w:r>
      <w:r>
        <w:t xml:space="preserve">“Empirical Asset Pricing via Machine</w:t>
      </w:r>
      <w:r>
        <w:t xml:space="preserve"> </w:t>
      </w:r>
      <w:r>
        <w:t xml:space="preserve">Learning.”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33 (5): 2223–2273.</w:t>
      </w:r>
      <w:r>
        <w:t xml:space="preserve"> </w:t>
      </w:r>
      <w:r>
        <w:t xml:space="preserve">https://doi.org/10.1093/rfs/hhaa009</w:t>
      </w:r>
    </w:p>
    <w:p>
      <w:pPr>
        <w:pStyle w:val="BodyText"/>
      </w:pPr>
      <w:r>
        <w:t xml:space="preserve">Hamilton, J. D. 1989.</w:t>
      </w:r>
      <w:r>
        <w:t xml:space="preserve"> </w:t>
      </w:r>
      <w:r>
        <w:t xml:space="preserve">“A New Approach to the Economic Analysis of Nonstationary</w:t>
      </w:r>
      <w:r>
        <w:t xml:space="preserve"> </w:t>
      </w:r>
      <w:r>
        <w:t xml:space="preserve">Time Series and the Business Cycle.”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57 (2): 357–384.</w:t>
      </w:r>
      <w:r>
        <w:t xml:space="preserve"> </w:t>
      </w:r>
      <w:r>
        <w:t xml:space="preserve">https://doi.org/10.2307/1912559</w:t>
      </w:r>
    </w:p>
    <w:p>
      <w:pPr>
        <w:pStyle w:val="BodyText"/>
      </w:pPr>
      <w:r>
        <w:t xml:space="preserve">Newey, W. K., and K. D. West. 1987.</w:t>
      </w:r>
      <w:r>
        <w:t xml:space="preserve"> </w:t>
      </w:r>
      <w:r>
        <w:t xml:space="preserve">“A Simple, Positive Semi-Definite,</w:t>
      </w:r>
      <w:r>
        <w:t xml:space="preserve"> </w:t>
      </w:r>
      <w:r>
        <w:t xml:space="preserve">Heteroskedasticity and Autocorrelation Consistent Covariance Matrix.”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55 (3): 703–708. https://doi.org/10.2307/1913610</w:t>
      </w:r>
    </w:p>
    <w:p>
      <w:pPr>
        <w:pStyle w:val="BodyText"/>
      </w:pPr>
      <w:r>
        <w:t xml:space="preserve">Pesaran, M. H., and A. Timmermann. 1992.</w:t>
      </w:r>
      <w:r>
        <w:t xml:space="preserve"> </w:t>
      </w:r>
      <w:r>
        <w:t xml:space="preserve">“A Simple Nonparametric Test of</w:t>
      </w:r>
      <w:r>
        <w:t xml:space="preserve"> </w:t>
      </w:r>
      <w:r>
        <w:t xml:space="preserve">Predictive Performance.”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10 (4):</w:t>
      </w:r>
      <w:r>
        <w:t xml:space="preserve"> </w:t>
      </w:r>
      <w:r>
        <w:t xml:space="preserve">461–465. https://doi.org/10.1080/07350015.1992.10509922</w:t>
      </w:r>
    </w:p>
    <w:p>
      <w:pPr>
        <w:pStyle w:val="BodyText"/>
      </w:pPr>
      <w:r>
        <w:t xml:space="preserve">Rapach, D. E., J. K. Strauss, and G. Zhou. 2010.</w:t>
      </w:r>
      <w:r>
        <w:t xml:space="preserve"> </w:t>
      </w:r>
      <w:r>
        <w:t xml:space="preserve">“Out-of-Sample Equity Premium</w:t>
      </w:r>
      <w:r>
        <w:t xml:space="preserve"> </w:t>
      </w:r>
      <w:r>
        <w:t xml:space="preserve">Prediction: Combination Forecasts and Links to the Real Economy.”</w:t>
      </w:r>
      <w:r>
        <w:t xml:space="preserve"> </w:t>
      </w:r>
      <w:r>
        <w:rPr>
          <w:i/>
          <w:iCs/>
        </w:rPr>
        <w:t xml:space="preserve">The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Financial Studies</w:t>
      </w:r>
      <w:r>
        <w:t xml:space="preserve"> </w:t>
      </w:r>
      <w:r>
        <w:t xml:space="preserve">23 (2): 821–862. https://doi.org/10.1093/rfs/hhp063</w:t>
      </w:r>
    </w:p>
    <w:p>
      <w:pPr>
        <w:pStyle w:val="BodyText"/>
      </w:pPr>
      <w:r>
        <w:t xml:space="preserve">Welch, I., and A. Goyal. 2008.</w:t>
      </w:r>
      <w:r>
        <w:t xml:space="preserve"> </w:t>
      </w:r>
      <w:r>
        <w:t xml:space="preserve">“A Comprehensive Look at the Empirical Performance</w:t>
      </w:r>
      <w:r>
        <w:t xml:space="preserve"> </w:t>
      </w:r>
      <w:r>
        <w:t xml:space="preserve">of Equity Premium Prediction.”</w:t>
      </w:r>
      <w:r>
        <w:t xml:space="preserve"> </w:t>
      </w:r>
      <w:r>
        <w:rPr>
          <w:i/>
          <w:iCs/>
        </w:rPr>
        <w:t xml:space="preserve">The Review of Financial Studies</w:t>
      </w:r>
      <w:r>
        <w:t xml:space="preserve"> </w:t>
      </w:r>
      <w:r>
        <w:t xml:space="preserve">21 (4):</w:t>
      </w:r>
      <w:r>
        <w:t xml:space="preserve"> </w:t>
      </w:r>
      <w:r>
        <w:t xml:space="preserve">1455–1508. https://doi.org/10.1093/rfs/hhm014</w:t>
      </w:r>
    </w:p>
    <w:p>
      <w:pPr>
        <w:pStyle w:val="BlockText"/>
      </w:pPr>
      <w:r>
        <w:rPr>
          <w:b/>
          <w:bCs/>
        </w:rPr>
        <w:t xml:space="preserve">Note on citations.</w:t>
      </w:r>
      <w:r>
        <w:t xml:space="preserve"> </w:t>
      </w:r>
      <w:r>
        <w:t xml:space="preserve">All fifteen references were verified against publisher,</w:t>
      </w:r>
      <w:r>
        <w:t xml:space="preserve"> </w:t>
      </w:r>
      <w:r>
        <w:t xml:space="preserve">Econometric Society, Wiley, or RePEc records, and each carries a resolvable DOI;</w:t>
      </w:r>
      <w:r>
        <w:t xml:space="preserve"> </w:t>
      </w:r>
      <w:r>
        <w:t xml:space="preserve">every reference is attached to a specific claim it directly supports. Two page</w:t>
      </w:r>
      <w:r>
        <w:t xml:space="preserve"> </w:t>
      </w:r>
      <w:r>
        <w:t xml:space="preserve">ranges that appear inconsistently across secondary indexes were resolved to the</w:t>
      </w:r>
      <w:r>
        <w:t xml:space="preserve"> </w:t>
      </w:r>
      <w:r>
        <w:t xml:space="preserve">journal of record: Pesaran and Timmermann (1992) is 461–465 (the Taylor &amp;</w:t>
      </w:r>
      <w:r>
        <w:t xml:space="preserve"> </w:t>
      </w:r>
      <w:r>
        <w:t xml:space="preserve">Francis record; a RePEc handle mis-encodes it as 561–565), and Engle (1982) is</w:t>
      </w:r>
      <w:r>
        <w:t xml:space="preserve"> </w:t>
      </w:r>
      <w:r>
        <w:t xml:space="preserve">987–1008 (the Econometric Society closing page; some JSTOR headers show 987–1007).</w:t>
      </w:r>
    </w:p>
    <w:p>
      <w:r>
        <w:pict>
          <v:rect style="width:0;height:1.5pt" o:hralign="center" o:hrstd="t" o:hr="t"/>
        </w:pict>
      </w:r>
    </w:p>
    <w:bookmarkEnd w:id="72"/>
    <w:bookmarkStart w:id="73" w:name="appendix-a-reproducibility"/>
    <w:p>
      <w:pPr>
        <w:pStyle w:val="Heading2"/>
      </w:pPr>
      <w:r>
        <w:t xml:space="preserve">Appendix A — Reproducibility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src.main               </w:t>
      </w:r>
      <w:r>
        <w:rPr>
          <w:rStyle w:val="CommentTok"/>
        </w:rPr>
        <w:t xml:space="preserve"># main pipeline: data, regimes, models, metrics, tests, figures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src.confound_analysis  </w:t>
      </w:r>
      <w:r>
        <w:rPr>
          <w:rStyle w:val="CommentTok"/>
        </w:rPr>
        <w:t xml:space="preserve"># volatility-confound regressions, double sort, alpha robustness</w:t>
      </w:r>
    </w:p>
    <w:p>
      <w:pPr>
        <w:pStyle w:val="FirstParagraph"/>
      </w:pPr>
      <w:r>
        <w:t xml:space="preserve">Key parameters (date range, correlation window, regime quantiles, model</w:t>
      </w:r>
      <w:r>
        <w:t xml:space="preserve"> </w:t>
      </w:r>
      <w:r>
        <w:t xml:space="preserve">hyperparameters) are centralized in</w:t>
      </w:r>
      <w:r>
        <w:t xml:space="preserve"> </w:t>
      </w:r>
      <w:r>
        <w:rPr>
          <w:rStyle w:val="VerbatimChar"/>
        </w:rPr>
        <w:t xml:space="preserve">src/config.py</w:t>
      </w:r>
      <w:r>
        <w:t xml:space="preserve">. The annotated notebook</w:t>
      </w:r>
      <w:r>
        <w:t xml:space="preserve"> </w:t>
      </w:r>
      <w:r>
        <w:rPr>
          <w:rStyle w:val="VerbatimChar"/>
        </w:rPr>
        <w:t xml:space="preserve">notebooks/research_analysis.ipynb</w:t>
      </w:r>
      <w:r>
        <w:t xml:space="preserve"> </w:t>
      </w:r>
      <w:r>
        <w:t xml:space="preserve">walks through the analysis interactively.</w:t>
      </w:r>
    </w:p>
    <w:bookmarkEnd w:id="73"/>
    <w:bookmarkStart w:id="74" w:name="appendix-b-output-artifacts"/>
    <w:p>
      <w:pPr>
        <w:pStyle w:val="Heading2"/>
      </w:pPr>
      <w:r>
        <w:t xml:space="preserve">Appendix B — Output artifacts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adjusted-close prices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data/raw/adj_close_prices.csv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Cleaned prices &amp; log returns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correlations &amp; regimes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data/processed/regimes.csv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rolling_pairwise_corr.csv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 predictors (corr, vol)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data/processed/lagged_predictors.csv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results/summary_statistics.csv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by regime / per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results/metrics_by_regime.csv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metrics_per_asset.csv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results/hypothesis_tests.csv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Confound regressions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results/confound_regression.csv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2×2 double 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results/double_sort.csv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Alpha robustness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results/alpha_robustness.csv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PCA variance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results/pca_static_variance.csv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Figures 1–11 (inline in the paper; source PNGs)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</w:tr>
    </w:tbl>
    <w:bookmarkEnd w:id="74"/>
    <w:sectPr w:rsidR="00FC693F" w:rsidRPr="0006063C" w:rsidSect="00034616">
      <w:headerReference r:id="rId9" w:type="default"/>
      <w:footerReference r:id="rId10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left"/>
      <w:pBdr>
        <w:top w:val="single" w:sz="6" w:space="6" w:color="auto"/>
      </w:pBdr>
    </w:pPr>
    <w:r>
      <w:rPr>
        <w:rFonts w:ascii="Times New Roman" w:hAnsi="Times New Roman"/>
        <w:sz w:val="22"/>
        <w:vertAlign w:val="superscript"/>
      </w:rPr>
      <w:t>1</w:t>
    </w:r>
    <w:r>
      <w:rPr>
        <w:rFonts w:ascii="Times New Roman" w:hAnsi="Times New Roman"/>
        <w:sz w:val="22"/>
      </w:rPr>
      <w:t>Aarav Vaidha, [Your School], [Street Address], [City, State ZIP], USA. aaravvaidha69@gmail.com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480" w:lineRule="auto"/>
      <w:ind w:firstLine="720"/>
    </w:pPr>
    <w:rPr>
      <w:rFonts w:ascii="Times New Roman" w:cs="Times New Roman" w:hAnsi="Times New Roman"/>
      <w:b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480" w:lineRule="auto"/>
      <w:ind w:firstLine="0"/>
      <w:jc w:val="center"/>
      <w:outlineLvl w:val="0"/>
    </w:pPr>
    <w:rPr>
      <w:rFonts w:ascii="Times New Roman" w:asciiTheme="majorHAnsi" w:cs="Times New Roman" w:cstheme="majorBidi" w:eastAsiaTheme="majorEastAsia" w:hAnsi="Times New Roman" w:hAnsiTheme="majorHAnsi"/>
      <w:b/>
      <w:bCs/>
      <w:sz w:val="24"/>
      <w:szCs w:val="28"/>
      <w:color w:val="00000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center"/>
      <w:outlineLvl w:val="1"/>
    </w:pPr>
    <w:rPr>
      <w:rFonts w:ascii="Times New Roman" w:asciiTheme="majorHAnsi" w:cs="Times New Roman" w:cstheme="majorBidi" w:eastAsiaTheme="majorEastAsia" w:hAnsi="Times New Roman" w:hAnsiTheme="majorHAnsi"/>
      <w:b/>
      <w:bCs/>
      <w:sz w:val="24"/>
      <w:szCs w:val="26"/>
      <w:color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2"/>
    </w:pPr>
    <w:rPr>
      <w:rFonts w:ascii="Times New Roman" w:asciiTheme="majorHAnsi" w:cs="Times New Roman" w:cstheme="majorBidi" w:eastAsiaTheme="majorEastAsia" w:hAnsi="Times New Roman" w:hAnsiTheme="majorHAnsi"/>
      <w:b/>
      <w:bCs/>
      <w:sz w:val="24"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40" w:line="480" w:lineRule="auto"/>
      <w:ind w:firstLine="0"/>
      <w:jc w:val="left"/>
      <w:outlineLvl w:val="3"/>
    </w:pPr>
    <w:rPr>
      <w:rFonts w:ascii="Times New Roman" w:asciiTheme="majorHAnsi" w:cs="Times New Roman" w:cstheme="majorBidi" w:eastAsiaTheme="majorEastAsia" w:hAnsi="Times New Roman" w:hAnsiTheme="majorHAnsi"/>
      <w:b/>
      <w:bCs/>
      <w:i/>
      <w:iCs/>
      <w:sz w:val="24"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46" Type="http://schemas.openxmlformats.org/officeDocument/2006/relationships/image" Target="media/rId46.png"/><Relationship Id="rId50" Type="http://schemas.openxmlformats.org/officeDocument/2006/relationships/image" Target="media/rId50.png"/><Relationship Id="rId62" Type="http://schemas.openxmlformats.org/officeDocument/2006/relationships/image" Target="media/rId62.png"/><Relationship Id="rId54" Type="http://schemas.openxmlformats.org/officeDocument/2006/relationships/image" Target="media/rId54.png"/><Relationship Id="rId58" Type="http://schemas.openxmlformats.org/officeDocument/2006/relationships/image" Target="media/rId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2026-07-22T02:44:14Z</dcterms:created>
  <dcterms:modified xsi:type="dcterms:W3CDTF">2026-07-22T02:44:14Z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