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bstract"/>
    <w:p>
      <w:pPr>
        <w:spacing w:line="240" w:lineRule="auto" w:after="0"/>
        <w:ind w:firstLine="0"/>
        <w:jc w:val="left"/>
      </w:pPr>
      <w:r>
        <w:rPr>
          <w:rFonts w:ascii="Times New Roman" w:hAnsi="Times New Roman"/>
          <w:b w:val="0"/>
          <w:sz w:val="22"/>
        </w:rPr>
        <w:t>Cross-Sector Correlation Regimes and Their Impact on the Predictive Accuracy of Equity Price Forecasting Models</w:t>
      </w: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2"/>
        </w:rPr>
        <w:t>Cross-Sector Correlation Regimes and Their Impact on the Predictive Accuracy of Equity Price Forecasting Models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2"/>
        </w:rPr>
        <w:t>Aarav Vaidha</w:t>
      </w:r>
      <w:r>
        <w:rPr>
          <w:rFonts w:ascii="Times New Roman" w:hAnsi="Times New Roman"/>
          <w:sz w:val="22"/>
          <w:vertAlign w:val="superscript"/>
        </w:rPr>
        <w:t>1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2"/>
        </w:rPr>
        <w:t>Guidance from Dr. Madjid Tavana, Distinguished Chair &amp; Professor of Business Analytics, La Salle University</w:t>
      </w: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  <w:r>
        <w:rPr>
          <w:rFonts w:ascii="Times New Roman" w:hAnsi="Times New Roman"/>
          <w:b/>
          <w:sz w:val="22"/>
        </w:rPr>
        <w:t xml:space="preserve">Keywords: </w:t>
      </w:r>
      <w:r>
        <w:rPr>
          <w:rFonts w:ascii="Times New Roman" w:hAnsi="Times New Roman"/>
          <w:sz w:val="22"/>
        </w:rPr>
        <w:t>cross-sector correlation, realized volatility, regime analysis, out-of-sample forecasting, return predictability, volatility confound, Newey–West standard errors</w:t>
      </w:r>
    </w:p>
    <w:p>
      <w:pPr>
        <w:spacing w:line="240" w:lineRule="auto" w:after="0"/>
        <w:ind w:firstLine="0"/>
        <w:jc w:val="left"/>
      </w:pPr>
      <w:r>
        <w:br w:type="page"/>
      </w:r>
    </w:p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paper examines whether the accuracy of one-day-ahead equity forecasts depends on cross-sector correlation regimes, and whether that dependence survives after controlling for volatility. Daily data from January 2015 to June 2026 cover four S&amp;P 500 sector ETFs, technology, health care, energy, and financials, along with SPY. High, mid, and low correlation regimes are defined by quartiles of a 90-day rolling pairwise correlation. Five walk-forward models are evaluated: a random walk, an AR(1), a five-lag linear regression, and Ridge and Lasso variants.</w:t>
      </w:r>
    </w:p>
    <w:p>
      <w:pPr>
        <w:pStyle w:val="BodyText"/>
      </w:pPr>
      <w:r>
        <w:t xml:space="preserve">Absolute return errors run 58% to 62% larger in the high-correlation regime (p &lt; 0.001 across all models via t-test and Mann-Whitney tests). Sector correlation and volatility co-move substantially in this sample (r = 0.64), which complicates the interpretation of the regime result on its own. A joint regression on lagged correlation and lagged volatility resolves this: correlation loses significance (p = 0.72–0.79), volatility remains highly significant (p ≈ 6×10⁻⁶), and model fit does not improve when correlation is added. Directional accuracy stays between 45% and 54% across all regimes. The regime-dependent forecast errors observed here trace to volatility, not correlation.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left"/>
      <w:pBdr>
        <w:top w:val="single" w:sz="6" w:space="6" w:color="auto"/>
      </w:pBdr>
    </w:pPr>
    <w:r>
      <w:rPr>
        <w:rFonts w:ascii="Times New Roman" w:hAnsi="Times New Roman"/>
        <w:sz w:val="22"/>
        <w:vertAlign w:val="superscript"/>
      </w:rPr>
      <w:t>1</w:t>
    </w:r>
    <w:r>
      <w:rPr>
        <w:rFonts w:ascii="Times New Roman" w:hAnsi="Times New Roman"/>
        <w:sz w:val="22"/>
      </w:rPr>
      <w:t>Aarav Vaidha, MOT Charter High School, 1275 Cedar Lane Rd, Middletown, DE 19709, USA. aaravvaidha69@gmail.com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2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480" w:lineRule="auto"/>
      <w:ind w:firstLine="720"/>
    </w:pPr>
    <w:rPr>
      <w:rFonts w:ascii="Times New Roman" w:cs="Times New Roman" w:hAnsi="Times New Roman"/>
      <w:b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 w:line="480" w:lineRule="auto"/>
      <w:ind w:firstLine="0"/>
      <w:jc w:val="center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bCs/>
      <w:sz w:val="22"/>
      <w:szCs w:val="28"/>
      <w:color w:val="00000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480" w:lineRule="auto"/>
      <w:ind w:firstLine="0"/>
      <w:jc w:val="center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bCs/>
      <w:sz w:val="22"/>
      <w:szCs w:val="26"/>
      <w:color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480" w:lineRule="auto"/>
      <w:ind w:firstLine="0"/>
      <w:jc w:val="left"/>
      <w:outlineLvl w:val="2"/>
    </w:pPr>
    <w:rPr>
      <w:rFonts w:ascii="Times New Roman" w:asciiTheme="majorHAnsi" w:cs="Times New Roman" w:cstheme="majorBidi" w:eastAsiaTheme="majorEastAsia" w:hAnsi="Times New Roman" w:hAnsiTheme="majorHAnsi"/>
      <w:b/>
      <w:bCs/>
      <w:sz w:val="22"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40" w:line="480" w:lineRule="auto"/>
      <w:ind w:firstLine="0"/>
      <w:jc w:val="left"/>
      <w:outlineLvl w:val="3"/>
    </w:pPr>
    <w:rPr>
      <w:rFonts w:ascii="Times New Roman" w:asciiTheme="majorHAnsi" w:cs="Times New Roman" w:cstheme="majorBidi" w:eastAsiaTheme="majorEastAsia" w:hAnsi="Times New Roman" w:hAnsiTheme="majorHAnsi"/>
      <w:b/>
      <w:bCs/>
      <w:i/>
      <w:iCs/>
      <w:sz w:val="22"/>
      <w:color w:val="00000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2026-07-28T04:35:13Z</dcterms:created>
  <dcterms:modified xsi:type="dcterms:W3CDTF">2026-07-28T04:35:13Z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