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24150D"/>
          <w:sz w:val="48"/>
        </w:rPr>
        <w:t>Bayangan yang Tertinggal</w:t>
      </w:r>
    </w:p>
    <w:p>
      <w:pPr>
        <w:jc w:val="center"/>
      </w:pPr>
      <w:r>
        <w:rPr>
          <w:rFonts w:ascii="Aptos Display" w:hAnsi="Aptos Display"/>
          <w:color w:val="6E1F16"/>
          <w:sz w:val="32"/>
        </w:rPr>
        <w:t>Background Production List</w:t>
      </w:r>
    </w:p>
    <w:p>
      <w:pPr>
        <w:jc w:val="center"/>
      </w:pPr>
      <w:r>
        <w:rPr>
          <w:i/>
          <w:color w:val="5A4A3D"/>
          <w:sz w:val="21"/>
        </w:rPr>
        <w:t>Compiled from MY_THOUGHTS.md and the current 15-minute adventure route.</w:t>
      </w:r>
    </w:p>
    <w:tbl>
      <w:tblPr>
        <w:tblW w:type="auto" w:w="0"/>
        <w:jc w:val="center"/>
        <w:tblLook w:firstColumn="1" w:firstRow="1" w:lastColumn="0" w:lastRow="0" w:noHBand="0" w:noVBand="1" w:val="04A0"/>
      </w:tblPr>
      <w:tblGrid>
        <w:gridCol w:w="10282"/>
      </w:tblGrid>
      <w:tr>
        <w:tc>
          <w:tcPr>
            <w:tcW w:type="dxa" w:w="10282"/>
            <w:shd w:fill="F3E4C8"/>
            <w:tcMar>
              <w:top w:w="140" w:type="dxa"/>
              <w:start w:w="180" w:type="dxa"/>
              <w:bottom w:w="140" w:type="dxa"/>
              <w:end w:w="180" w:type="dxa"/>
            </w:tcMar>
          </w:tcPr>
          <w:p>
            <w:pPr>
              <w:spacing w:after="0" w:line="259" w:lineRule="auto"/>
            </w:pPr>
            <w:r/>
            <w:r>
              <w:rPr>
                <w:rFonts w:ascii="Aptos" w:hAnsi="Aptos"/>
                <w:b w:val="0"/>
                <w:color w:val="21150E"/>
                <w:sz w:val="21"/>
              </w:rPr>
              <w:t>Production target: 11 core background entries including the main menu and chapter card screen, plus 4 ending background variants. Missing final art can temporarily use placeholders, but each background should preserve the horror-adventure readability of the scene.</w:t>
            </w:r>
          </w:p>
        </w:tc>
      </w:tr>
    </w:tbl>
    <w:p>
      <w:pPr>
        <w:spacing w:before="360"/>
      </w:pPr>
      <w:r>
        <w:rPr>
          <w:b/>
          <w:color w:val="24150D"/>
        </w:rPr>
        <w:t>Reference direction</w:t>
      </w:r>
    </w:p>
    <w:p>
      <w:pPr>
        <w:spacing w:line="276" w:lineRule="auto"/>
      </w:pPr>
      <w:r>
        <w:t>The art direction should emphasize unease, grief, buried truth, kain kafan, wet soil, dim light, village trees, and grave textures. The horror should come from understanding the situation, not only monster attacks.</w:t>
      </w:r>
    </w:p>
    <w:p>
      <w:r>
        <w:br w:type="page"/>
      </w:r>
    </w:p>
    <w:p>
      <w:pPr>
        <w:pStyle w:val="Heading1"/>
      </w:pPr>
      <w:r>
        <w:rPr>
          <w:color w:val="24150D"/>
        </w:rPr>
        <w:t>Core Backgrounds</w:t>
      </w:r>
    </w:p>
    <w:tbl>
      <w:tblPr>
        <w:tblW w:type="auto" w:w="0"/>
        <w:jc w:val="center"/>
        <w:tblLayout w:type="fixed"/>
        <w:tblLook w:firstColumn="1" w:firstRow="1" w:lastColumn="0" w:lastRow="0" w:noHBand="0" w:noVBand="1" w:val="04A0"/>
      </w:tblPr>
      <w:tblGrid>
        <w:gridCol w:w="3427"/>
        <w:gridCol w:w="3427"/>
        <w:gridCol w:w="3427"/>
      </w:tblGrid>
      <w:tr>
        <w:tc>
          <w:tcPr>
            <w:tcW w:type="dxa" w:w="2100"/>
            <w:vAlign w:val="center"/>
            <w:tcMar>
              <w:top w:w="90" w:type="dxa"/>
              <w:start w:w="110" w:type="dxa"/>
              <w:bottom w:w="90" w:type="dxa"/>
              <w:end w:w="110" w:type="dxa"/>
            </w:tcMar>
            <w:shd w:fill="24150D"/>
          </w:tcPr>
          <w:p>
            <w:pPr>
              <w:spacing w:after="0" w:line="259" w:lineRule="auto"/>
            </w:pPr>
            <w:r>
              <w:rPr>
                <w:b/>
                <w:color w:val="F7E9D3"/>
              </w:rPr>
            </w:r>
            <w:r>
              <w:rPr>
                <w:rFonts w:ascii="Aptos" w:hAnsi="Aptos"/>
                <w:b/>
                <w:color w:val="F7E9D3"/>
                <w:sz w:val="19"/>
              </w:rPr>
              <w:t>Asset ID</w:t>
            </w:r>
          </w:p>
        </w:tc>
        <w:tc>
          <w:tcPr>
            <w:tcW w:type="dxa" w:w="2550"/>
            <w:vAlign w:val="center"/>
            <w:tcMar>
              <w:top w:w="90" w:type="dxa"/>
              <w:start w:w="110" w:type="dxa"/>
              <w:bottom w:w="90" w:type="dxa"/>
              <w:end w:w="110" w:type="dxa"/>
            </w:tcMar>
            <w:shd w:fill="24150D"/>
          </w:tcPr>
          <w:p>
            <w:pPr>
              <w:spacing w:after="0" w:line="259" w:lineRule="auto"/>
            </w:pPr>
            <w:r>
              <w:rPr>
                <w:b/>
                <w:color w:val="F7E9D3"/>
              </w:rPr>
            </w:r>
            <w:r>
              <w:rPr>
                <w:rFonts w:ascii="Aptos" w:hAnsi="Aptos"/>
                <w:b/>
                <w:color w:val="F7E9D3"/>
                <w:sz w:val="19"/>
              </w:rPr>
              <w:t>Scene / Use</w:t>
            </w:r>
          </w:p>
        </w:tc>
        <w:tc>
          <w:tcPr>
            <w:tcW w:type="dxa" w:w="6000"/>
            <w:vAlign w:val="center"/>
            <w:tcMar>
              <w:top w:w="90" w:type="dxa"/>
              <w:start w:w="110" w:type="dxa"/>
              <w:bottom w:w="90" w:type="dxa"/>
              <w:end w:w="110" w:type="dxa"/>
            </w:tcMar>
            <w:shd w:fill="24150D"/>
          </w:tcPr>
          <w:p>
            <w:pPr>
              <w:spacing w:after="0" w:line="259" w:lineRule="auto"/>
            </w:pPr>
            <w:r>
              <w:rPr>
                <w:b/>
                <w:color w:val="F7E9D3"/>
              </w:rPr>
            </w:r>
            <w:r>
              <w:rPr>
                <w:rFonts w:ascii="Aptos" w:hAnsi="Aptos"/>
                <w:b/>
                <w:color w:val="F7E9D3"/>
                <w:sz w:val="19"/>
              </w:rPr>
              <w:t>Required Details</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gui/main_menu.png</w:t>
            </w:r>
          </w:p>
        </w:tc>
        <w:tc>
          <w:tcPr>
            <w:tcW w:type="dxa" w:w="2550"/>
            <w:vAlign w:val="center"/>
            <w:tcMar>
              <w:top w:w="90" w:type="dxa"/>
              <w:start w:w="110" w:type="dxa"/>
              <w:bottom w:w="90" w:type="dxa"/>
              <w:end w:w="110" w:type="dxa"/>
            </w:tcMar>
            <w:shd w:fill="FBF7EF"/>
          </w:tcPr>
          <w:p>
            <w:pPr>
              <w:spacing w:after="0" w:line="259" w:lineRule="auto"/>
            </w:pPr>
            <w:r/>
            <w:r>
              <w:rPr>
                <w:rFonts w:ascii="Aptos" w:hAnsi="Aptos"/>
                <w:b/>
                <w:color w:val="24150D"/>
                <w:sz w:val="18"/>
              </w:rPr>
              <w:t>Main menu: liang lahad</w:t>
            </w:r>
          </w:p>
        </w:tc>
        <w:tc>
          <w:tcPr>
            <w:tcW w:type="dxa" w:w="600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Freshly dug grave. Camera peeks slightly into the liang lahad. A partly visible white kain kafan hints at the pocong without full reveal. Flickering light should shine on the grave, making the story feel like it is already waiting inside before the player starts.</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bg_adv_chapter_card</w:t>
            </w:r>
          </w:p>
        </w:tc>
        <w:tc>
          <w:tcPr>
            <w:tcW w:type="dxa" w:w="2550"/>
            <w:vAlign w:val="center"/>
            <w:tcMar>
              <w:top w:w="90" w:type="dxa"/>
              <w:start w:w="110" w:type="dxa"/>
              <w:bottom w:w="90" w:type="dxa"/>
              <w:end w:w="110" w:type="dxa"/>
            </w:tcMar>
            <w:shd w:fill="F4EBDD"/>
          </w:tcPr>
          <w:p>
            <w:pPr>
              <w:spacing w:after="0" w:line="259" w:lineRule="auto"/>
            </w:pPr>
            <w:r/>
            <w:r>
              <w:rPr>
                <w:rFonts w:ascii="Aptos" w:hAnsi="Aptos"/>
                <w:b/>
                <w:color w:val="24150D"/>
                <w:sz w:val="18"/>
              </w:rPr>
              <w:t>Chapter loading/card screen</w:t>
            </w:r>
          </w:p>
        </w:tc>
        <w:tc>
          <w:tcPr>
            <w:tcW w:type="dxa" w:w="600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Static dark background for chapter title, place, time, and involved characters. Use blurred grave soil, kain kafan texture, or black-brown cemetery material. Must stay readable behind text.</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bg_village_path_night</w:t>
            </w:r>
          </w:p>
        </w:tc>
        <w:tc>
          <w:tcPr>
            <w:tcW w:type="dxa" w:w="2550"/>
            <w:vAlign w:val="center"/>
            <w:tcMar>
              <w:top w:w="90" w:type="dxa"/>
              <w:start w:w="110" w:type="dxa"/>
              <w:bottom w:w="90" w:type="dxa"/>
              <w:end w:w="110" w:type="dxa"/>
            </w:tcMar>
            <w:shd w:fill="FBF7EF"/>
          </w:tcPr>
          <w:p>
            <w:pPr>
              <w:spacing w:after="0" w:line="259" w:lineRule="auto"/>
            </w:pPr>
            <w:r/>
            <w:r>
              <w:rPr>
                <w:rFonts w:ascii="Aptos" w:hAnsi="Aptos"/>
                <w:b/>
                <w:color w:val="24150D"/>
                <w:sz w:val="18"/>
              </w:rPr>
              <w:t>Prologue: Nayan walking home</w:t>
            </w:r>
          </w:p>
        </w:tc>
        <w:tc>
          <w:tcPr>
            <w:tcW w:type="dxa" w:w="600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Narrow kampung path at night. Trees or semak on both sides, very quiet. Leave dark space at the far road for a faint white figure.</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bg_adv_restaurant</w:t>
            </w:r>
          </w:p>
        </w:tc>
        <w:tc>
          <w:tcPr>
            <w:tcW w:type="dxa" w:w="2550"/>
            <w:vAlign w:val="center"/>
            <w:tcMar>
              <w:top w:w="90" w:type="dxa"/>
              <w:start w:w="110" w:type="dxa"/>
              <w:bottom w:w="90" w:type="dxa"/>
              <w:end w:w="110" w:type="dxa"/>
            </w:tcMar>
            <w:shd w:fill="F4EBDD"/>
          </w:tcPr>
          <w:p>
            <w:pPr>
              <w:spacing w:after="0" w:line="259" w:lineRule="auto"/>
            </w:pPr>
            <w:r/>
            <w:r>
              <w:rPr>
                <w:rFonts w:ascii="Aptos" w:hAnsi="Aptos"/>
                <w:b/>
                <w:color w:val="24150D"/>
                <w:sz w:val="18"/>
              </w:rPr>
              <w:t>Chapter 1: Restoran Zulkifli</w:t>
            </w:r>
          </w:p>
        </w:tc>
        <w:tc>
          <w:tcPr>
            <w:tcW w:type="dxa" w:w="600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Old local restaurant or warung in evening light. Warm but tired mood, old fan, tables, counter, dim outside. Must hold MC, Hafiz, and Abang Zul together without feeling cramped.</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bg_adv_village_gate</w:t>
            </w:r>
          </w:p>
        </w:tc>
        <w:tc>
          <w:tcPr>
            <w:tcW w:type="dxa" w:w="2550"/>
            <w:vAlign w:val="center"/>
            <w:tcMar>
              <w:top w:w="90" w:type="dxa"/>
              <w:start w:w="110" w:type="dxa"/>
              <w:bottom w:w="90" w:type="dxa"/>
              <w:end w:w="110" w:type="dxa"/>
            </w:tcMar>
            <w:shd w:fill="FBF7EF"/>
          </w:tcPr>
          <w:p>
            <w:pPr>
              <w:spacing w:after="0" w:line="259" w:lineRule="auto"/>
            </w:pPr>
            <w:r/>
            <w:r>
              <w:rPr>
                <w:rFonts w:ascii="Aptos" w:hAnsi="Aptos"/>
                <w:b/>
                <w:color w:val="24150D"/>
                <w:sz w:val="18"/>
              </w:rPr>
              <w:t>Chapter 2: Batu Layar entrance</w:t>
            </w:r>
          </w:p>
        </w:tc>
        <w:tc>
          <w:tcPr>
            <w:tcW w:type="dxa" w:w="600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Kampung entrance at night. Empty road, signboard, dark trees, weak streetlight. Needs open space for the first pocong encounter and timed action choice.</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bg_village_path_day</w:t>
            </w:r>
          </w:p>
        </w:tc>
        <w:tc>
          <w:tcPr>
            <w:tcW w:type="dxa" w:w="2550"/>
            <w:vAlign w:val="center"/>
            <w:tcMar>
              <w:top w:w="90" w:type="dxa"/>
              <w:start w:w="110" w:type="dxa"/>
              <w:bottom w:w="90" w:type="dxa"/>
              <w:end w:w="110" w:type="dxa"/>
            </w:tcMar>
            <w:shd w:fill="F4EBDD"/>
          </w:tcPr>
          <w:p>
            <w:pPr>
              <w:spacing w:after="0" w:line="259" w:lineRule="auto"/>
            </w:pPr>
            <w:r/>
            <w:r>
              <w:rPr>
                <w:rFonts w:ascii="Aptos" w:hAnsi="Aptos"/>
                <w:b/>
                <w:color w:val="24150D"/>
                <w:sz w:val="18"/>
              </w:rPr>
              <w:t>Chapter 3 hub: Batu Layar daytime</w:t>
            </w:r>
          </w:p>
        </w:tc>
        <w:tc>
          <w:tcPr>
            <w:tcW w:type="dxa" w:w="600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Daytime kampung path for investigation navigation. Uneasy but not fully horror. Should connect naturally to Mak Ros house, burial ground, and old family house.</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bg_adv_mak_ros_house</w:t>
            </w:r>
          </w:p>
        </w:tc>
        <w:tc>
          <w:tcPr>
            <w:tcW w:type="dxa" w:w="2550"/>
            <w:vAlign w:val="center"/>
            <w:tcMar>
              <w:top w:w="90" w:type="dxa"/>
              <w:start w:w="110" w:type="dxa"/>
              <w:bottom w:w="90" w:type="dxa"/>
              <w:end w:w="110" w:type="dxa"/>
            </w:tcMar>
            <w:shd w:fill="FBF7EF"/>
          </w:tcPr>
          <w:p>
            <w:pPr>
              <w:spacing w:after="0" w:line="259" w:lineRule="auto"/>
            </w:pPr>
            <w:r/>
            <w:r>
              <w:rPr>
                <w:rFonts w:ascii="Aptos" w:hAnsi="Aptos"/>
                <w:b/>
                <w:color w:val="24150D"/>
                <w:sz w:val="18"/>
              </w:rPr>
              <w:t>Mak Ros house</w:t>
            </w:r>
          </w:p>
        </w:tc>
        <w:tc>
          <w:tcPr>
            <w:tcW w:type="dxa" w:w="600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Old kampung house exterior or front interior edge. Lived-in, grieving, slightly tense. Should support emotional conversation with Mak Ros.</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bg_adv_grave_inspect</w:t>
            </w:r>
          </w:p>
        </w:tc>
        <w:tc>
          <w:tcPr>
            <w:tcW w:type="dxa" w:w="2550"/>
            <w:vAlign w:val="center"/>
            <w:tcMar>
              <w:top w:w="90" w:type="dxa"/>
              <w:start w:w="110" w:type="dxa"/>
              <w:bottom w:w="90" w:type="dxa"/>
              <w:end w:w="110" w:type="dxa"/>
            </w:tcMar>
            <w:shd w:fill="F4EBDD"/>
          </w:tcPr>
          <w:p>
            <w:pPr>
              <w:spacing w:after="0" w:line="259" w:lineRule="auto"/>
            </w:pPr>
            <w:r/>
            <w:r>
              <w:rPr>
                <w:rFonts w:ascii="Aptos" w:hAnsi="Aptos"/>
                <w:b/>
                <w:color w:val="24150D"/>
                <w:sz w:val="18"/>
              </w:rPr>
              <w:t>Burial ground investigation</w:t>
            </w:r>
          </w:p>
        </w:tc>
        <w:tc>
          <w:tcPr>
            <w:tcW w:type="dxa" w:w="600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Daytime or late-afternoon cemetery. One suspicious grave area, soil, batu nisan, and space for kafan/thread clue inspection.</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bg_adv_old_house</w:t>
            </w:r>
          </w:p>
        </w:tc>
        <w:tc>
          <w:tcPr>
            <w:tcW w:type="dxa" w:w="2550"/>
            <w:vAlign w:val="center"/>
            <w:tcMar>
              <w:top w:w="90" w:type="dxa"/>
              <w:start w:w="110" w:type="dxa"/>
              <w:bottom w:w="90" w:type="dxa"/>
              <w:end w:w="110" w:type="dxa"/>
            </w:tcMar>
            <w:shd w:fill="FBF7EF"/>
          </w:tcPr>
          <w:p>
            <w:pPr>
              <w:spacing w:after="0" w:line="259" w:lineRule="auto"/>
            </w:pPr>
            <w:r/>
            <w:r>
              <w:rPr>
                <w:rFonts w:ascii="Aptos" w:hAnsi="Aptos"/>
                <w:b/>
                <w:color w:val="24150D"/>
                <w:sz w:val="18"/>
              </w:rPr>
              <w:t>Old family house</w:t>
            </w:r>
          </w:p>
        </w:tc>
        <w:tc>
          <w:tcPr>
            <w:tcW w:type="dxa" w:w="600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Abandoned or half-kept family house. Dusty, sad, old letters, tasbih, and kitchen cabinet clue possibilities. Tragic mood first, horror second.</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bg_adv_preparation</w:t>
            </w:r>
          </w:p>
        </w:tc>
        <w:tc>
          <w:tcPr>
            <w:tcW w:type="dxa" w:w="2550"/>
            <w:vAlign w:val="center"/>
            <w:tcMar>
              <w:top w:w="90" w:type="dxa"/>
              <w:start w:w="110" w:type="dxa"/>
              <w:bottom w:w="90" w:type="dxa"/>
              <w:end w:w="110" w:type="dxa"/>
            </w:tcMar>
            <w:shd w:fill="F4EBDD"/>
          </w:tcPr>
          <w:p>
            <w:pPr>
              <w:spacing w:after="0" w:line="259" w:lineRule="auto"/>
            </w:pPr>
            <w:r/>
            <w:r>
              <w:rPr>
                <w:rFonts w:ascii="Aptos" w:hAnsi="Aptos"/>
                <w:b/>
                <w:color w:val="24150D"/>
                <w:sz w:val="18"/>
              </w:rPr>
              <w:t>Chapter 4: preparation before night</w:t>
            </w:r>
          </w:p>
        </w:tc>
        <w:tc>
          <w:tcPr>
            <w:tcW w:type="dxa" w:w="600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Dusk/senja kampung roadside or small rest spot. MC mentally prepares and lays out tools. Mood should feel like the last quiet breath before confrontation.</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bg_adv_final_grave</w:t>
            </w:r>
          </w:p>
        </w:tc>
        <w:tc>
          <w:tcPr>
            <w:tcW w:type="dxa" w:w="2550"/>
            <w:vAlign w:val="center"/>
            <w:tcMar>
              <w:top w:w="90" w:type="dxa"/>
              <w:start w:w="110" w:type="dxa"/>
              <w:bottom w:w="90" w:type="dxa"/>
              <w:end w:w="110" w:type="dxa"/>
            </w:tcMar>
            <w:shd w:fill="FBF7EF"/>
          </w:tcPr>
          <w:p>
            <w:pPr>
              <w:spacing w:after="0" w:line="259" w:lineRule="auto"/>
            </w:pPr>
            <w:r/>
            <w:r>
              <w:rPr>
                <w:rFonts w:ascii="Aptos" w:hAnsi="Aptos"/>
                <w:b/>
                <w:color w:val="24150D"/>
                <w:sz w:val="18"/>
              </w:rPr>
              <w:t>Chapter 5: final grave</w:t>
            </w:r>
          </w:p>
        </w:tc>
        <w:tc>
          <w:tcPr>
            <w:tcW w:type="dxa" w:w="600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Cemetery at 2:47 AM. One grave in foreground, tight kain kafan knot visual, damp soil, trees behind. This is the main confrontation background.</w:t>
            </w:r>
          </w:p>
        </w:tc>
      </w:tr>
    </w:tbl>
    <w:p>
      <w:r>
        <w:br w:type="page"/>
      </w:r>
    </w:p>
    <w:p>
      <w:pPr>
        <w:pStyle w:val="Heading1"/>
      </w:pPr>
      <w:r>
        <w:rPr>
          <w:color w:val="24150D"/>
        </w:rPr>
        <w:t>Ending Background Variants</w:t>
      </w:r>
    </w:p>
    <w:p>
      <w:pPr>
        <w:spacing w:after="160"/>
      </w:pPr>
      <w:r>
        <w:t>Use one strong final grave composition as the base where possible, then produce variations with lighting, props, tint, and framing.</w:t>
      </w:r>
    </w:p>
    <w:tbl>
      <w:tblPr>
        <w:tblW w:type="auto" w:w="0"/>
        <w:jc w:val="center"/>
        <w:tblLayout w:type="fixed"/>
        <w:tblLook w:firstColumn="1" w:firstRow="1" w:lastColumn="0" w:lastRow="0" w:noHBand="0" w:noVBand="1" w:val="04A0"/>
      </w:tblPr>
      <w:tblGrid>
        <w:gridCol w:w="3427"/>
        <w:gridCol w:w="3427"/>
        <w:gridCol w:w="3427"/>
      </w:tblGrid>
      <w:tr>
        <w:tc>
          <w:tcPr>
            <w:tcW w:type="dxa" w:w="2100"/>
            <w:vAlign w:val="center"/>
            <w:tcMar>
              <w:top w:w="90" w:type="dxa"/>
              <w:start w:w="110" w:type="dxa"/>
              <w:bottom w:w="90" w:type="dxa"/>
              <w:end w:w="110" w:type="dxa"/>
            </w:tcMar>
            <w:shd w:fill="24150D"/>
          </w:tcPr>
          <w:p>
            <w:pPr>
              <w:spacing w:after="0" w:line="259" w:lineRule="auto"/>
            </w:pPr>
            <w:r>
              <w:rPr>
                <w:b/>
                <w:color w:val="F7E9D3"/>
              </w:rPr>
            </w:r>
            <w:r>
              <w:rPr>
                <w:rFonts w:ascii="Aptos" w:hAnsi="Aptos"/>
                <w:b/>
                <w:color w:val="F7E9D3"/>
                <w:sz w:val="19"/>
              </w:rPr>
              <w:t>Ending</w:t>
            </w:r>
          </w:p>
        </w:tc>
        <w:tc>
          <w:tcPr>
            <w:tcW w:type="dxa" w:w="2700"/>
            <w:vAlign w:val="center"/>
            <w:tcMar>
              <w:top w:w="90" w:type="dxa"/>
              <w:start w:w="110" w:type="dxa"/>
              <w:bottom w:w="90" w:type="dxa"/>
              <w:end w:w="110" w:type="dxa"/>
            </w:tcMar>
            <w:shd w:fill="24150D"/>
          </w:tcPr>
          <w:p>
            <w:pPr>
              <w:spacing w:after="0" w:line="259" w:lineRule="auto"/>
            </w:pPr>
            <w:r>
              <w:rPr>
                <w:b/>
                <w:color w:val="F7E9D3"/>
              </w:rPr>
            </w:r>
            <w:r>
              <w:rPr>
                <w:rFonts w:ascii="Aptos" w:hAnsi="Aptos"/>
                <w:b/>
                <w:color w:val="F7E9D3"/>
                <w:sz w:val="19"/>
              </w:rPr>
              <w:t>Background Version</w:t>
            </w:r>
          </w:p>
        </w:tc>
        <w:tc>
          <w:tcPr>
            <w:tcW w:type="dxa" w:w="5850"/>
            <w:vAlign w:val="center"/>
            <w:tcMar>
              <w:top w:w="90" w:type="dxa"/>
              <w:start w:w="110" w:type="dxa"/>
              <w:bottom w:w="90" w:type="dxa"/>
              <w:end w:w="110" w:type="dxa"/>
            </w:tcMar>
            <w:shd w:fill="24150D"/>
          </w:tcPr>
          <w:p>
            <w:pPr>
              <w:spacing w:after="0" w:line="259" w:lineRule="auto"/>
            </w:pPr>
            <w:r>
              <w:rPr>
                <w:b/>
                <w:color w:val="F7E9D3"/>
              </w:rPr>
            </w:r>
            <w:r>
              <w:rPr>
                <w:rFonts w:ascii="Aptos" w:hAnsi="Aptos"/>
                <w:b/>
                <w:color w:val="F7E9D3"/>
                <w:sz w:val="19"/>
              </w:rPr>
              <w:t>Required Details</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DILEPASKAN</w:t>
            </w:r>
          </w:p>
        </w:tc>
        <w:tc>
          <w:tcPr>
            <w:tcW w:type="dxa" w:w="2700"/>
            <w:vAlign w:val="center"/>
            <w:tcMar>
              <w:top w:w="90" w:type="dxa"/>
              <w:start w:w="110" w:type="dxa"/>
              <w:bottom w:w="90" w:type="dxa"/>
              <w:end w:w="110" w:type="dxa"/>
            </w:tcMar>
            <w:shd w:fill="FBF7EF"/>
          </w:tcPr>
          <w:p>
            <w:pPr>
              <w:spacing w:after="0" w:line="259" w:lineRule="auto"/>
            </w:pPr>
            <w:r/>
            <w:r>
              <w:rPr>
                <w:rFonts w:ascii="Aptos" w:hAnsi="Aptos"/>
                <w:b/>
                <w:color w:val="24150D"/>
                <w:sz w:val="18"/>
              </w:rPr>
              <w:t>Grave at dawn, peaceful</w:t>
            </w:r>
          </w:p>
        </w:tc>
        <w:tc>
          <w:tcPr>
            <w:tcW w:type="dxa" w:w="585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Loose kain kafan knot, tasbih near the grave, soft blue dawn light, no monster silhouette. Sad but calm. Supports reflective words about release not being the same as forgetting.</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TIDAK FAHAM</w:t>
            </w:r>
          </w:p>
        </w:tc>
        <w:tc>
          <w:tcPr>
            <w:tcW w:type="dxa" w:w="2700"/>
            <w:vAlign w:val="center"/>
            <w:tcMar>
              <w:top w:w="90" w:type="dxa"/>
              <w:start w:w="110" w:type="dxa"/>
              <w:bottom w:w="90" w:type="dxa"/>
              <w:end w:w="110" w:type="dxa"/>
            </w:tcMar>
            <w:shd w:fill="F4EBDD"/>
          </w:tcPr>
          <w:p>
            <w:pPr>
              <w:spacing w:after="0" w:line="259" w:lineRule="auto"/>
            </w:pPr>
            <w:r/>
            <w:r>
              <w:rPr>
                <w:rFonts w:ascii="Aptos" w:hAnsi="Aptos"/>
                <w:b/>
                <w:color w:val="24150D"/>
                <w:sz w:val="18"/>
              </w:rPr>
              <w:t>Grave, harsh and unresolved</w:t>
            </w:r>
          </w:p>
        </w:tc>
        <w:tc>
          <w:tcPr>
            <w:tcW w:type="dxa" w:w="585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Dark red-brown tint, disturbed soil, keris mark, kain still tangled. Silence should feel wrong, not peaceful. Supports the theme that fear without understanding buries truth.</w:t>
            </w:r>
          </w:p>
        </w:tc>
      </w:tr>
      <w:tr>
        <w:tc>
          <w:tcPr>
            <w:tcW w:type="dxa" w:w="2100"/>
            <w:vAlign w:val="center"/>
            <w:tcMar>
              <w:top w:w="90" w:type="dxa"/>
              <w:start w:w="110" w:type="dxa"/>
              <w:bottom w:w="90" w:type="dxa"/>
              <w:end w:w="110" w:type="dxa"/>
            </w:tcMar>
            <w:shd w:fill="FBF7EF"/>
          </w:tcPr>
          <w:p>
            <w:pPr>
              <w:spacing w:after="0" w:line="259" w:lineRule="auto"/>
            </w:pPr>
            <w:r/>
            <w:r>
              <w:rPr>
                <w:rFonts w:ascii="Aptos" w:hAnsi="Aptos"/>
                <w:b/>
                <w:color w:val="6E1F16"/>
                <w:sz w:val="17"/>
              </w:rPr>
              <w:t>DITINGGALKAN</w:t>
            </w:r>
          </w:p>
        </w:tc>
        <w:tc>
          <w:tcPr>
            <w:tcW w:type="dxa" w:w="2700"/>
            <w:vAlign w:val="center"/>
            <w:tcMar>
              <w:top w:w="90" w:type="dxa"/>
              <w:start w:w="110" w:type="dxa"/>
              <w:bottom w:w="90" w:type="dxa"/>
              <w:end w:w="110" w:type="dxa"/>
            </w:tcMar>
            <w:shd w:fill="FBF7EF"/>
          </w:tcPr>
          <w:p>
            <w:pPr>
              <w:spacing w:after="0" w:line="259" w:lineRule="auto"/>
            </w:pPr>
            <w:r/>
            <w:r>
              <w:rPr>
                <w:rFonts w:ascii="Aptos" w:hAnsi="Aptos"/>
                <w:b/>
                <w:color w:val="24150D"/>
                <w:sz w:val="18"/>
              </w:rPr>
              <w:t>Road leaving cemetery</w:t>
            </w:r>
          </w:p>
        </w:tc>
        <w:tc>
          <w:tcPr>
            <w:tcW w:type="dxa" w:w="5850"/>
            <w:vAlign w:val="center"/>
            <w:tcMar>
              <w:top w:w="90" w:type="dxa"/>
              <w:start w:w="110" w:type="dxa"/>
              <w:bottom w:w="90" w:type="dxa"/>
              <w:end w:w="110" w:type="dxa"/>
            </w:tcMar>
            <w:shd w:fill="FBF7EF"/>
          </w:tcPr>
          <w:p>
            <w:pPr>
              <w:spacing w:after="0" w:line="259" w:lineRule="auto"/>
            </w:pPr>
            <w:r/>
            <w:r>
              <w:rPr>
                <w:rFonts w:ascii="Aptos" w:hAnsi="Aptos"/>
                <w:b w:val="0"/>
                <w:color w:val="2A211A"/>
                <w:sz w:val="17"/>
              </w:rPr>
              <w:t>MC perspective leaving Batu Layar. Grave behind, faint white figure far back. Horror continues after MC leaves. Supports the theme that abandoned truth becomes someone else's burden.</w:t>
            </w:r>
          </w:p>
        </w:tc>
      </w:tr>
      <w:tr>
        <w:tc>
          <w:tcPr>
            <w:tcW w:type="dxa" w:w="2100"/>
            <w:vAlign w:val="center"/>
            <w:tcMar>
              <w:top w:w="90" w:type="dxa"/>
              <w:start w:w="110" w:type="dxa"/>
              <w:bottom w:w="90" w:type="dxa"/>
              <w:end w:w="110" w:type="dxa"/>
            </w:tcMar>
            <w:shd w:fill="F4EBDD"/>
          </w:tcPr>
          <w:p>
            <w:pPr>
              <w:spacing w:after="0" w:line="259" w:lineRule="auto"/>
            </w:pPr>
            <w:r/>
            <w:r>
              <w:rPr>
                <w:rFonts w:ascii="Aptos" w:hAnsi="Aptos"/>
                <w:b/>
                <w:color w:val="6E1F16"/>
                <w:sz w:val="17"/>
              </w:rPr>
              <w:t>TERKUBUR BERSAMA</w:t>
            </w:r>
          </w:p>
        </w:tc>
        <w:tc>
          <w:tcPr>
            <w:tcW w:type="dxa" w:w="2700"/>
            <w:vAlign w:val="center"/>
            <w:tcMar>
              <w:top w:w="90" w:type="dxa"/>
              <w:start w:w="110" w:type="dxa"/>
              <w:bottom w:w="90" w:type="dxa"/>
              <w:end w:w="110" w:type="dxa"/>
            </w:tcMar>
            <w:shd w:fill="F4EBDD"/>
          </w:tcPr>
          <w:p>
            <w:pPr>
              <w:spacing w:after="0" w:line="259" w:lineRule="auto"/>
            </w:pPr>
            <w:r/>
            <w:r>
              <w:rPr>
                <w:rFonts w:ascii="Aptos" w:hAnsi="Aptos"/>
                <w:b/>
                <w:color w:val="24150D"/>
                <w:sz w:val="18"/>
              </w:rPr>
              <w:t>Ground-level grave view</w:t>
            </w:r>
          </w:p>
        </w:tc>
        <w:tc>
          <w:tcPr>
            <w:tcW w:type="dxa" w:w="5850"/>
            <w:vAlign w:val="center"/>
            <w:tcMar>
              <w:top w:w="90" w:type="dxa"/>
              <w:start w:w="110" w:type="dxa"/>
              <w:bottom w:w="90" w:type="dxa"/>
              <w:end w:w="110" w:type="dxa"/>
            </w:tcMar>
            <w:shd w:fill="F4EBDD"/>
          </w:tcPr>
          <w:p>
            <w:pPr>
              <w:spacing w:after="0" w:line="259" w:lineRule="auto"/>
            </w:pPr>
            <w:r/>
            <w:r>
              <w:rPr>
                <w:rFonts w:ascii="Aptos" w:hAnsi="Aptos"/>
                <w:b w:val="0"/>
                <w:color w:val="2A211A"/>
                <w:sz w:val="17"/>
              </w:rPr>
              <w:t>Camera low near soil, half-buried white cloth, little or no sky. Claustrophobic and final. Supports the theme that hesitation and ignorance have a cost.</w:t>
            </w:r>
          </w:p>
        </w:tc>
      </w:tr>
    </w:tbl>
    <w:p/>
    <w:p>
      <w:pPr>
        <w:pStyle w:val="Heading1"/>
      </w:pPr>
      <w:r>
        <w:rPr>
          <w:color w:val="24150D"/>
        </w:rPr>
        <w:t>Art Direction Notes</w:t>
      </w:r>
    </w:p>
    <w:p>
      <w:pPr>
        <w:spacing w:after="80"/>
        <w:ind w:left="259"/>
      </w:pPr>
      <w:r>
        <w:rPr>
          <w:b/>
        </w:rPr>
        <w:t xml:space="preserve">- </w:t>
      </w:r>
      <w:r>
        <w:t>Keep the story readable: backgrounds should support character silhouettes and dialogue boxes without visual clutter.</w:t>
      </w:r>
    </w:p>
    <w:p>
      <w:pPr>
        <w:spacing w:after="80"/>
        <w:ind w:left="259"/>
      </w:pPr>
      <w:r>
        <w:rPr>
          <w:b/>
        </w:rPr>
        <w:t xml:space="preserve">- </w:t>
      </w:r>
      <w:r>
        <w:t>Horror direction should favor unease, grief, and buried truth over constant monster reveal.</w:t>
      </w:r>
    </w:p>
    <w:p>
      <w:pPr>
        <w:spacing w:after="80"/>
        <w:ind w:left="259"/>
      </w:pPr>
      <w:r>
        <w:rPr>
          <w:b/>
        </w:rPr>
        <w:t xml:space="preserve">- </w:t>
      </w:r>
      <w:r>
        <w:t>Kain kafan, wet soil, dim light, village trees, and grave textures are recurring visual motifs.</w:t>
      </w:r>
    </w:p>
    <w:p>
      <w:pPr>
        <w:spacing w:after="80"/>
        <w:ind w:left="259"/>
      </w:pPr>
      <w:r>
        <w:rPr>
          <w:b/>
        </w:rPr>
        <w:t xml:space="preserve">- </w:t>
      </w:r>
      <w:r>
        <w:t>The chapter card background should introduce tone and characters clearly, not function as a full illustration competing with text.</w:t>
      </w:r>
    </w:p>
    <w:sectPr w:rsidR="00FC693F" w:rsidRPr="0006063C" w:rsidSect="00034616">
      <w:footerReference w:type="default" r:id="rId9"/>
      <w:pgSz w:w="12240" w:h="15840"/>
      <w:pgMar w:top="936" w:right="979" w:bottom="936"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A6C5D"/>
        <w:sz w:val="16"/>
      </w:rPr>
      <w:t>Bayangan yang Tertinggal - Background Production List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