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49FC5">
      <w:pPr>
        <w:pStyle w:val="2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Ueguden语言：音节结构与重音规则</w:t>
      </w:r>
    </w:p>
    <w:p w14:paraId="07BD032A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一、音节结构</w:t>
      </w:r>
    </w:p>
    <w:p w14:paraId="35712081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1.1 音节构成模板</w:t>
      </w:r>
    </w:p>
    <w:p w14:paraId="6CD875EC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Ueguden语言的基本音节结构为：</w:t>
      </w:r>
    </w:p>
    <w:p w14:paraId="2F684403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(C₁)(C₂)V(C₃)(C₄)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</w:rPr>
        <w:t>其中：</w:t>
      </w:r>
    </w:p>
    <w:p w14:paraId="189D4CEB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C₁：可选的首辅音（单辅音）</w:t>
      </w:r>
    </w:p>
    <w:p w14:paraId="7D2A7795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C₂：可选的次辅音（仅当C₁存在时）</w:t>
      </w:r>
    </w:p>
    <w:p w14:paraId="6DEE58A9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V：必需的音节核（元音或元音性辅音）</w:t>
      </w:r>
    </w:p>
    <w:p w14:paraId="51CD95FF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C₃：可选的第一尾辅音</w:t>
      </w:r>
    </w:p>
    <w:p w14:paraId="625E0D49">
      <w:pPr>
        <w:numPr>
          <w:ilvl w:val="0"/>
          <w:numId w:val="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C₄：可选的第二尾辅音（仅当C₃存在时）</w:t>
      </w:r>
    </w:p>
    <w:p w14:paraId="3B20C3F9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1.2 合法音节成分</w:t>
      </w:r>
    </w:p>
    <w:p w14:paraId="15C47467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1.2.1 音节首（Onset）</w:t>
      </w:r>
    </w:p>
    <w:p w14:paraId="1BD5982C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单辅音首（C₁）：</w:t>
      </w:r>
    </w:p>
    <w:p w14:paraId="6574265E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几乎所有辅音均可作音节首</w:t>
      </w:r>
    </w:p>
    <w:p w14:paraId="2AFAE2FC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例外：/ŋ/仅出现在音节尾（n 在 k、g 前的同化结果，不是独立音位）</w:t>
      </w:r>
    </w:p>
    <w:p w14:paraId="6A23E76C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词素连接处 /t/ + /ɡ/ 时 /t/ 脱落，只留 /ɡ/（喉塞音不是本语言的音位，旧稿误列的 /ʔ/ 已删）</w:t>
      </w:r>
    </w:p>
    <w:p w14:paraId="2B536AA9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双辅音首（C₁C₂）：</w:t>
      </w:r>
    </w:p>
    <w:p w14:paraId="0D640E7B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允许以下组合（按发音部位分类）：</w:t>
      </w:r>
    </w:p>
    <w:tbl>
      <w:tblPr>
        <w:tblStyle w:val="6"/>
        <w:tblW w:w="8304" w:type="dxa"/>
        <w:jc w:val="center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3"/>
        <w:gridCol w:w="4063"/>
        <w:gridCol w:w="2868"/>
      </w:tblGrid>
      <w:tr w14:paraId="7D2230E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567D5D0E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类型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45020423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组合示例</w:t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28A397E2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条件</w:t>
            </w:r>
          </w:p>
        </w:tc>
      </w:tr>
      <w:tr w14:paraId="0D95026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6B18DBF5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塞音+流音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7CD88959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pr /pr/, br /br/, tr /tʰr/, dr /dr/, kr /kʰr/, gr /ɡr/</w:t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1A636442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仅限于词首或词素边界</w:t>
            </w:r>
          </w:p>
        </w:tc>
      </w:tr>
      <w:tr w14:paraId="34F0F6F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4F4D965D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塞音+半元音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3F04A1F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py /pj/, by /bj/, tw /tʰw/, dw /dw/, ky /kʰj/, gy /ɡj/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</w:r>
            <w:r>
              <w:rPr>
                <w:rFonts w:ascii="Times New Roman" w:hAnsi="Times New Roman" w:eastAsia="宋体" w:cs="Times New Roman"/>
              </w:rPr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</w:r>
            <w:r>
              <w:rPr>
                <w:rFonts w:ascii="Times New Roman" w:hAnsi="Times New Roman" w:eastAsia="宋体" w:cs="Times New Roman"/>
              </w:rPr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</w:r>
            <w:r>
              <w:rPr>
                <w:rFonts w:ascii="Times New Roman" w:hAnsi="Times New Roman" w:eastAsia="宋体" w:cs="Times New Roman"/>
              </w:rPr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</w:r>
            <w:r>
              <w:rPr>
                <w:rFonts w:ascii="Times New Roman" w:hAnsi="Times New Roman" w:eastAsia="宋体" w:cs="Times New Roman"/>
              </w:rPr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1AA217D6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第二个成分必须为/j/或/w/</w:t>
            </w:r>
          </w:p>
        </w:tc>
      </w:tr>
      <w:tr w14:paraId="1804253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2207FD75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擦音+流音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4E43BD8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fr /fr/, vr /vr/, sr /sr/, zr /zr/</w:t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488EC204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/ʃr/仅在借词中出现</w:t>
            </w:r>
          </w:p>
        </w:tc>
      </w:tr>
      <w:tr w14:paraId="554B9A7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64F83DF4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擦音+半元音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519805AF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f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</w:t>
            </w:r>
            <w:r>
              <w:rPr>
                <w:rFonts w:ascii="Times New Roman" w:hAnsi="Times New Roman" w:eastAsia="宋体" w:cs="Times New Roman"/>
              </w:rPr>
              <w:t xml:space="preserve"> /fj/, v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</w:t>
            </w:r>
            <w:r>
              <w:rPr>
                <w:rFonts w:ascii="Times New Roman" w:hAnsi="Times New Roman" w:eastAsia="宋体" w:cs="Times New Roman"/>
              </w:rPr>
              <w:t xml:space="preserve"> /vj/, sw /sw/, zw /zw/, ʃw /ʃw/</w:t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4CE2F54A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后接后元音时/w/变为/ʷ/</w:t>
            </w:r>
          </w:p>
        </w:tc>
      </w:tr>
      <w:tr w14:paraId="515F71D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1A3017D1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鼻音+流音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24505FA3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mr /mr/, nr /nr/</w:t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5F194917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较为罕见，多出现在复合词中</w:t>
            </w:r>
          </w:p>
        </w:tc>
      </w:tr>
      <w:tr w14:paraId="4A8B117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73" w:type="dxa"/>
            <w:tcMar>
              <w:left w:w="108" w:type="dxa"/>
              <w:right w:w="108" w:type="dxa"/>
            </w:tcMar>
            <w:vAlign w:val="center"/>
          </w:tcPr>
          <w:p w14:paraId="69499FF0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流音+半元音</w:t>
            </w:r>
          </w:p>
        </w:tc>
        <w:tc>
          <w:tcPr>
            <w:tcW w:w="4063" w:type="dxa"/>
            <w:tcMar>
              <w:left w:w="108" w:type="dxa"/>
              <w:right w:w="108" w:type="dxa"/>
            </w:tcMar>
            <w:vAlign w:val="center"/>
          </w:tcPr>
          <w:p w14:paraId="13CFC85C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l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</w:t>
            </w:r>
            <w:r>
              <w:rPr>
                <w:rFonts w:ascii="Times New Roman" w:hAnsi="Times New Roman" w:eastAsia="宋体" w:cs="Times New Roman"/>
              </w:rPr>
              <w:t xml:space="preserve"> /lj/, rw /rw/, r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y</w:t>
            </w:r>
            <w:r>
              <w:rPr>
                <w:rFonts w:ascii="Times New Roman" w:hAnsi="Times New Roman" w:eastAsia="宋体" w:cs="Times New Roman"/>
              </w:rPr>
              <w:t xml:space="preserve"> /rj/</w:t>
            </w:r>
          </w:p>
        </w:tc>
        <w:tc>
          <w:tcPr>
            <w:tcW w:w="2868" w:type="dxa"/>
            <w:tcMar>
              <w:left w:w="108" w:type="dxa"/>
              <w:right w:w="108" w:type="dxa"/>
            </w:tcMar>
            <w:vAlign w:val="center"/>
          </w:tcPr>
          <w:p w14:paraId="31B5E57E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仅出现在特定词根中</w:t>
            </w:r>
          </w:p>
        </w:tc>
      </w:tr>
      <w:tr>
        <w:tc>
          <w:tcPr>
            <w:tcW w:type="dxa" w:w="1373"/>
          </w:tcPr>
          <w:p>
            <w:r>
              <w:t>s + 塞音</w:t>
            </w:r>
          </w:p>
        </w:tc>
        <w:tc>
          <w:tcPr>
            <w:tcW w:type="dxa" w:w="4063"/>
          </w:tcPr>
          <w:p>
            <w:r>
              <w:t>sp /sp/, st /stʰ/, sk /sk/, ʃp /ʃp/, ʃt /ʃt/</w:t>
            </w:r>
          </w:p>
        </w:tc>
        <w:tc>
          <w:tcPr>
            <w:tcW w:type="dxa" w:w="2868"/>
          </w:tcPr>
          <w:p>
            <w:r>
              <w:t>词首或词素边界</w:t>
            </w:r>
          </w:p>
        </w:tc>
      </w:tr>
      <w:tr>
        <w:tc>
          <w:tcPr>
            <w:tcW w:type="dxa" w:w="1373"/>
          </w:tcPr>
          <w:p>
            <w:r>
              <w:t>塞音 + s</w:t>
            </w:r>
          </w:p>
        </w:tc>
        <w:tc>
          <w:tcPr>
            <w:tcW w:type="dxa" w:w="4063"/>
          </w:tcPr>
          <w:p>
            <w:r>
              <w:t>ps /ps/, ks /ks/</w:t>
            </w:r>
          </w:p>
        </w:tc>
        <w:tc>
          <w:tcPr>
            <w:tcW w:type="dxa" w:w="2868"/>
          </w:tcPr>
          <w:p>
            <w:r>
              <w:t>仅借词（希腊语、拉丁语）</w:t>
            </w:r>
          </w:p>
        </w:tc>
      </w:tr>
      <w:tr>
        <w:tc>
          <w:tcPr>
            <w:tcW w:type="dxa" w:w="1373"/>
          </w:tcPr>
          <w:p>
            <w:r>
              <w:t>借词专用</w:t>
            </w:r>
          </w:p>
        </w:tc>
        <w:tc>
          <w:tcPr>
            <w:tcW w:type="dxa" w:w="4063"/>
          </w:tcPr>
          <w:p>
            <w:r>
              <w:t>kn /kn/, kv /kv/, sv /sv/, tv /tv/, hr /hr/；bh /bʰ/, dh /dʰ/, nh /ɲ/</w:t>
            </w:r>
          </w:p>
        </w:tc>
        <w:tc>
          <w:tcPr>
            <w:tcW w:type="dxa" w:w="2868"/>
          </w:tcPr>
          <w:p>
            <w:r>
              <w:t>仅借词；bh/dh/nh 是借词专用音位</w:t>
            </w:r>
          </w:p>
        </w:tc>
      </w:tr>
    </w:tbl>
    <w:p w14:paraId="209B1108">
      <w:pPr>
        <w:rPr>
          <w:rFonts w:ascii="Times New Roman" w:hAnsi="Times New Roman" w:eastAsia="宋体" w:cs="Times New Roman"/>
          <w:b/>
        </w:rPr>
      </w:pPr>
    </w:p>
    <w:p w14:paraId="224C66CA">
      <w:pPr>
        <w:rPr>
          <w:rFonts w:ascii="Times New Roman" w:hAnsi="Times New Roman" w:eastAsia="宋体" w:cs="Times New Roman"/>
          <w:b/>
        </w:rPr>
      </w:pPr>
    </w:p>
    <w:p w14:paraId="2D28FBB5">
      <w:pPr>
        <w:rPr>
          <w:rFonts w:ascii="Times New Roman" w:hAnsi="Times New Roman" w:eastAsia="宋体" w:cs="Times New Roman"/>
          <w:b/>
        </w:rPr>
      </w:pPr>
    </w:p>
    <w:p w14:paraId="6EA6CDAC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不在上表之列的两辅音丛一律插入 /ə/ 断开（如 pkela → /ˈpekʰe.la/）。禁止的首辅音组合：</w:t>
      </w:r>
    </w:p>
    <w:p w14:paraId="60BE5314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相同辅音的重复</w:t>
      </w:r>
    </w:p>
    <w:p w14:paraId="4B72D650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鼻音+鼻音</w:t>
      </w:r>
    </w:p>
    <w:p w14:paraId="3529AC1C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送气塞音+送气塞音</w:t>
      </w:r>
    </w:p>
    <w:p w14:paraId="623473D3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1.2.2 音节核（Nucleus）</w:t>
      </w:r>
    </w:p>
    <w:p w14:paraId="61704D4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单元音核：</w:t>
      </w:r>
    </w:p>
    <w:p w14:paraId="69817EC7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所有基本元音：/a, e, i, o, u, ø, œ, ʌ/ 所有基本元音：/a, e, i, o, u, ø, œ, ʌ/ 所有基本元音：/a, e, i, o, u, ø, œ, ʌ/ 所有基本元音：/a, e, i, o, u, ø, œ, ʌ/ 所有基本元音：/a, e, i, o, u, ø, œ, ʌ/ 所有基本元音：/a, e, i, o, u, ø, œ, ʌ/ 所有基本元音：/a, e, i, o, u, ø, œ, ʌ/ 所有基本元音：/a, e, i, o, u, ø, œ, ʌ/ 
        <w:t>所有基本元音：/a, e, i, o, u, ø, ʌ/；组合元音 /ɜ/（er）、/ɜː/（ér）、/oə/（oe）不单独作音位</w:t>
      </w:r>
    </w:p>
    <w:p w14:paraId="365B927F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鼻化元音：/ɐ̃/（仅出现在特定词中）</w:t>
      </w:r>
    </w:p>
    <w:p w14:paraId="3C9314CA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长元音：/aː eː iː oː uː æː/（尖音符）、/ɜː/（ér）、/ɔː/（å）；长元音不吸引重音。重读音节不写 /ə/（e 重读一律写 /e/）。借词的长元音与重音按词典逐词标注（如 øl /øːl/、føhn /føːn/ 保留源语言的长音）</w:t>
      </w:r>
      <w:r>
        <w:rPr>
          <w:rFonts w:hint="eastAsia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  <w:lang w:val="en-US" w:eastAsia="zh-CN"/>
        </w:rPr>
      </w:r>
      <w:r>
        <w:rPr>
          <w:rFonts w:ascii="Times New Roman" w:hAnsi="Times New Roman" w:eastAsia="宋体" w:cs="Times New Roman"/>
        </w:rPr>
      </w:r>
      <w:r>
        <w:rPr>
          <w:rFonts w:hint="eastAsia" w:ascii="Times New Roman" w:hAnsi="Times New Roman" w:eastAsia="宋体" w:cs="Times New Roman"/>
          <w:lang w:val="en-US" w:eastAsia="zh-CN"/>
        </w:rPr>
      </w:r>
    </w:p>
    <w:p w14:paraId="16B8DBD7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双元音核：</w:t>
      </w:r>
      <w:r>
        <w:rPr>
          <w:rFonts w:ascii="Times New Roman" w:hAnsi="Times New Roman" w:eastAsia="宋体" w:cs="Times New Roman"/>
        </w:rPr>
        <w:t>上升双元音（第二个成分更突出）：</w:t>
      </w:r>
    </w:p>
    <w:p>
      <w:pPr/>
      <w:r>
        <w:t>下降双元音核：/aj/、/ej/、/oj/、/uj/、/aw/、/ew/、/ow/（第二个成分较不突出，如 lai、kelkafoy、ankorau、hauto 的 au）。</w:t>
      </w:r>
    </w:p>
    <w:p w14:paraId="38929354">
      <w:pPr>
        <w:numPr>
          <w:ilvl w:val="1"/>
          <w:numId w:val="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/ja/, /je/, /jo/, /ju/</w:t>
      </w:r>
    </w:p>
    <w:p w14:paraId="052057E5">
      <w:pPr>
        <w:numPr>
          <w:ilvl w:val="1"/>
          <w:numId w:val="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/wa/, /we/, /wi/, /wo/</w:t>
      </w:r>
    </w:p>
    <w:p w14:paraId="1A7A989A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特殊音节核：</w:t>
      </w:r>
    </w:p>
    <w:p w14:paraId="78416D59">
      <w:pPr>
        <w:numPr>
          <w:ilvl w:val="0"/>
          <w:numId w:val="6"/>
        </w:numPr>
        <w:spacing w:before="0" w:beforeAutospacing="1" w:after="0" w:afterAutospacing="1"/>
        <w:ind w:left="780" w:leftChars="0" w:hanging="36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/l̩/作音节核：词中无其他元音字母时，l 读成音节 /l̩/（r 同，读 /r̩/）</w:t>
      </w:r>
    </w:p>
    <w:p w14:paraId="3D8DEBDD">
      <w:pPr>
        <w:numPr>
          <w:ilvl w:val="1"/>
          <w:numId w:val="6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例：zlmp /zl̩mp/（耳机）、mlnk /ml̩ŋk/（书）；非法辅音丛一律插入 /ə/（如 dekstra /ˈdekʰ.stʰə.ra/）</w:t>
      </w:r>
    </w:p>
    <w:p w14:paraId="45084C00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1.2.3 音节尾（Coda）</w:t>
      </w:r>
    </w:p>
    <w:p w14:paraId="55232CC2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单辅音尾（C₃）：</w:t>
      </w:r>
    </w:p>
    <w:p w14:paraId="426EE6D7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允许：所有塞音、擦音、鼻音、边音</w:t>
      </w:r>
    </w:p>
    <w:p w14:paraId="2056BC4B">
      <w:pPr>
        <w:numPr>
          <w:ilvl w:val="0"/>
          <w:numId w:val="7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限制：</w:t>
      </w:r>
    </w:p>
    <w:p w14:paraId="0427C7A9">
      <w:pPr>
        <w:numPr>
          <w:ilvl w:val="1"/>
          <w:numId w:val="7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/h/不能出现在音节尾</w:t>
      </w:r>
    </w:p>
    <w:p w14:paraId="6F57BDBD">
      <w:pPr>
        <w:numPr>
          <w:ilvl w:val="1"/>
          <w:numId w:val="7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/w/, /j/仅出现在双元音中，不作独立尾音</w:t>
      </w:r>
    </w:p>
    <w:p w14:paraId="0CF8B663">
      <w:pPr>
        <w:numPr>
          <w:ilvl w:val="1"/>
          <w:numId w:val="7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浊塞音在词尾清化（高优先级音变）</w:t>
      </w:r>
    </w:p>
    <w:p w14:paraId="48DEF3F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双辅音尾（C₃C₄）：</w:t>
      </w:r>
    </w:p>
    <w:p w14:paraId="7B817B3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允许的尾辅音丛：</w:t>
      </w:r>
    </w:p>
    <w:tbl>
      <w:tblPr>
        <w:tblStyle w:val="6"/>
        <w:tblW w:w="8519" w:type="dxa"/>
        <w:jc w:val="center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  <w:gridCol w:w="3792"/>
        <w:gridCol w:w="2657"/>
      </w:tblGrid>
      <w:tr w14:paraId="21561BE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504D6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5465F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组合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51DC9D6A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条件</w:t>
            </w:r>
          </w:p>
        </w:tc>
      </w:tr>
      <w:tr w14:paraId="32766BD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BC05F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鼻音+同部位塞音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684984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mp, nt, ŋk, mb, nd, ŋg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3D488E9E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词素内部常见</w:t>
            </w:r>
          </w:p>
        </w:tc>
      </w:tr>
      <w:tr w14:paraId="69D6B1C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FE74C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流音+塞音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3556A3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lp, lb, lt, ld, lk, lg, rp, rb, rt, rd, rk, rg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62490ED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第二个塞音不送气</w:t>
            </w:r>
          </w:p>
        </w:tc>
      </w:tr>
      <w:tr w14:paraId="6CA9D34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2110DC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流音+擦音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DC2E00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lf, lv, ls, lz, lʃ, lʒ, rf, rv, rs, rz, rʃ, rʒ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4FE92D12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仅限于词中位置</w:t>
            </w:r>
          </w:p>
        </w:tc>
      </w:tr>
      <w:tr w14:paraId="7A697B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CEE25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擦音+塞音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AF8B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sp, st, sk, ʃp, ʃt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6ACFBA9D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塞音不送气</w:t>
            </w:r>
          </w:p>
        </w:tc>
      </w:tr>
      <w:tr w14:paraId="37C3E2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70" w:type="dxa"/>
            <w:tcMar>
              <w:left w:w="108" w:type="dxa"/>
              <w:right w:w="108" w:type="dxa"/>
            </w:tcMar>
            <w:vAlign w:val="center"/>
          </w:tcPr>
          <w:p w14:paraId="595D0369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塞音+塞音</w:t>
            </w:r>
          </w:p>
        </w:tc>
        <w:tc>
          <w:tcPr>
            <w:tcW w:w="3792" w:type="dxa"/>
            <w:tcMar>
              <w:left w:w="108" w:type="dxa"/>
              <w:right w:w="108" w:type="dxa"/>
            </w:tcMar>
            <w:vAlign w:val="center"/>
          </w:tcPr>
          <w:p w14:paraId="249033F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pt, kt, bd, gd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6CD78FAE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仅限同部位或邻近部位</w:t>
            </w:r>
          </w:p>
        </w:tc>
      </w:tr>
      <w:tr w14:paraId="754DA18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70" w:type="dxa"/>
            <w:tcMar>
              <w:left w:w="108" w:type="dxa"/>
              <w:right w:w="108" w:type="dxa"/>
            </w:tcMar>
            <w:vAlign w:val="center"/>
          </w:tcPr>
          <w:p w14:paraId="572F19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鼻音+鼻音</w:t>
            </w:r>
          </w:p>
        </w:tc>
        <w:tc>
          <w:tcPr>
            <w:tcW w:w="3792" w:type="dxa"/>
            <w:tcMar>
              <w:left w:w="108" w:type="dxa"/>
              <w:right w:w="108" w:type="dxa"/>
            </w:tcMar>
            <w:vAlign w:val="center"/>
          </w:tcPr>
          <w:p w14:paraId="58C2BF8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mn </w:t>
            </w:r>
          </w:p>
        </w:tc>
        <w:tc>
          <w:tcPr>
            <w:tcW w:w="2657" w:type="dxa"/>
            <w:tcMar>
              <w:left w:w="108" w:type="dxa"/>
              <w:right w:w="108" w:type="dxa"/>
            </w:tcMar>
            <w:vAlign w:val="center"/>
          </w:tcPr>
          <w:p w14:paraId="2E8FE85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仅限mn组合</w:t>
            </w:r>
          </w:p>
        </w:tc>
      </w:tr>
      <w:tr>
        <w:tc>
          <w:tcPr>
            <w:tcW w:type="dxa" w:w="2070"/>
          </w:tcPr>
          <w:p>
            <w:r>
              <w:t>鼻音 + 擦音</w:t>
            </w:r>
          </w:p>
        </w:tc>
        <w:tc>
          <w:tcPr>
            <w:tcW w:type="dxa" w:w="3792"/>
          </w:tcPr>
          <w:p>
            <w:r>
              <w:t>ns, nf, mf</w:t>
            </w:r>
          </w:p>
        </w:tc>
        <w:tc>
          <w:tcPr>
            <w:tcW w:type="dxa" w:w="2657"/>
          </w:tcPr>
          <w:p>
            <w:r>
              <w:t>词素内部或词尾</w:t>
            </w:r>
          </w:p>
        </w:tc>
      </w:tr>
      <w:tr>
        <w:tc>
          <w:tcPr>
            <w:tcW w:type="dxa" w:w="2070"/>
          </w:tcPr>
          <w:p>
            <w:r>
              <w:t>流音 + 鼻音</w:t>
            </w:r>
          </w:p>
        </w:tc>
        <w:tc>
          <w:tcPr>
            <w:tcW w:type="dxa" w:w="3792"/>
          </w:tcPr>
          <w:p>
            <w:r>
              <w:t>rm, rn, lm, ln</w:t>
            </w:r>
          </w:p>
        </w:tc>
        <w:tc>
          <w:tcPr>
            <w:tcW w:type="dxa" w:w="2657"/>
          </w:tcPr>
          <w:p>
            <w:r>
              <w:t>多见于词尾</w:t>
            </w:r>
          </w:p>
        </w:tc>
      </w:tr>
      <w:tr>
        <w:tc>
          <w:tcPr>
            <w:tcW w:type="dxa" w:w="2070"/>
          </w:tcPr>
          <w:p>
            <w:r>
              <w:t>流音 + 塞擦音</w:t>
            </w:r>
          </w:p>
        </w:tc>
        <w:tc>
          <w:tcPr>
            <w:tcW w:type="dxa" w:w="3792"/>
          </w:tcPr>
          <w:p>
            <w:r>
              <w:t>rĉ, lĉ, rj, lj</w:t>
            </w:r>
          </w:p>
        </w:tc>
        <w:tc>
          <w:tcPr>
            <w:tcW w:type="dxa" w:w="2657"/>
          </w:tcPr>
          <w:p>
            <w:r>
              <w:t>词中或词尾</w:t>
            </w:r>
          </w:p>
        </w:tc>
      </w:tr>
      <w:tr>
        <w:tc>
          <w:tcPr>
            <w:tcW w:type="dxa" w:w="2070"/>
          </w:tcPr>
          <w:p>
            <w:r>
              <w:t>塞音 + 流音</w:t>
            </w:r>
          </w:p>
        </w:tc>
        <w:tc>
          <w:tcPr>
            <w:tcW w:type="dxa" w:w="3792"/>
          </w:tcPr>
          <w:p>
            <w:r>
              <w:t>bl, dl, gl, kl</w:t>
            </w:r>
          </w:p>
        </w:tc>
        <w:tc>
          <w:tcPr>
            <w:tcW w:type="dxa" w:w="2657"/>
          </w:tcPr>
          <w:p>
            <w:r>
              <w:t>词中或词尾</w:t>
            </w:r>
          </w:p>
        </w:tc>
      </w:tr>
      <w:tr>
        <w:tc>
          <w:tcPr>
            <w:tcW w:type="dxa" w:w="2070"/>
          </w:tcPr>
          <w:p>
            <w:r>
              <w:t>擦音 + 流音</w:t>
            </w:r>
          </w:p>
        </w:tc>
        <w:tc>
          <w:tcPr>
            <w:tcW w:type="dxa" w:w="3792"/>
          </w:tcPr>
          <w:p>
            <w:r>
              <w:t>fr, fl, vr</w:t>
            </w:r>
          </w:p>
        </w:tc>
        <w:tc>
          <w:tcPr>
            <w:tcW w:type="dxa" w:w="2657"/>
          </w:tcPr>
          <w:p>
            <w:r>
              <w:t>词中或词尾</w:t>
            </w:r>
          </w:p>
        </w:tc>
      </w:tr>
      <w:tr>
        <w:tc>
          <w:tcPr>
            <w:tcW w:type="dxa" w:w="2070"/>
          </w:tcPr>
          <w:p>
            <w:r>
              <w:t>塞音 + 塞音</w:t>
            </w:r>
          </w:p>
        </w:tc>
        <w:tc>
          <w:tcPr>
            <w:tcW w:type="dxa" w:w="3792"/>
          </w:tcPr>
          <w:p>
            <w:r>
              <w:t>pt, kt, bd, gd, kv（清浊一致）</w:t>
            </w:r>
          </w:p>
        </w:tc>
        <w:tc>
          <w:tcPr>
            <w:tcW w:type="dxa" w:w="2657"/>
          </w:tcPr>
          <w:p>
            <w:r>
              <w:t>同一音节内</w:t>
            </w:r>
          </w:p>
        </w:tc>
      </w:tr>
    </w:tbl>
    <w:p w14:paraId="055F44EC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禁止的尾辅音组合：</w:t>
      </w:r>
    </w:p>
    <w:p w14:paraId="57C9C757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一个音节内三个及以上辅音（词素边界处除外；其余需插入 /ə/）</w:t>
      </w:r>
    </w:p>
    <w:p w14:paraId="4750723E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擦音+鼻音（除/sm/, /zm/外）</w:t>
      </w:r>
    </w:p>
    <w:p w14:paraId="465C3736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不同部位的鼻音组合</w:t>
      </w:r>
    </w:p>
    <w:p w14:paraId="16A55F41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1.3 音节划分规则</w:t>
      </w:r>
    </w:p>
    <w:p w14:paraId="6DB124E7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1.3.1 一般原则</w:t>
      </w:r>
    </w:p>
    <w:p w14:paraId="38C606B5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最大首原则</w:t>
      </w:r>
      <w:r>
        <w:rPr>
          <w:rFonts w:ascii="Times New Roman" w:hAnsi="Times New Roman" w:eastAsia="宋体" w:cs="Times New Roman"/>
        </w:rPr>
        <w:t>：在允许范围内，尽可能将辅音归入下一个音节的首音</w:t>
      </w:r>
    </w:p>
    <w:p w14:paraId="3F761609">
      <w:pPr>
        <w:numPr>
          <w:ilvl w:val="0"/>
          <w:numId w:val="9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响度层级原则</w:t>
      </w:r>
      <w:r>
        <w:rPr>
          <w:rFonts w:ascii="Times New Roman" w:hAnsi="Times New Roman" w:eastAsia="宋体" w:cs="Times New Roman"/>
        </w:rPr>
        <w:t>：音节的响度应从中心向边缘递减</w:t>
      </w:r>
    </w:p>
    <w:p w14:paraId="2C5D1FF9">
      <w:pPr>
        <w:spacing w:before="0" w:beforeAutospacing="1" w:after="0" w:afterAutospacing="1"/>
        <w:ind w:left="7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响度层级：元音 &gt; 滑音 &gt; 流音 &gt; 鼻音 &gt; 擦音 &gt; 塞音</w:t>
      </w:r>
    </w:p>
    <w:p w14:paraId="77243817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1.3.2 具体规则</w:t>
      </w:r>
    </w:p>
    <w:p w14:paraId="254C953F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元音间辅音的划分</w:t>
      </w:r>
      <w:r>
        <w:rPr>
          <w:rFonts w:ascii="Times New Roman" w:hAnsi="Times New Roman" w:eastAsia="宋体" w:cs="Times New Roman"/>
        </w:rPr>
        <w:t>：</w:t>
      </w:r>
    </w:p>
    <w:p w14:paraId="29892B5C">
      <w:pPr>
        <w:numPr>
          <w:ilvl w:val="1"/>
          <w:numId w:val="10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V.CV：单辅音归入下一音节首</w:t>
      </w:r>
    </w:p>
    <w:p w14:paraId="5F78A909">
      <w:pPr>
        <w:numPr>
          <w:ilvl w:val="2"/>
          <w:numId w:val="10"/>
        </w:numPr>
        <w:spacing w:before="0" w:beforeAutospacing="1" w:after="0" w:afterAutospacing="1"/>
        <w:ind w:left="216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to.kin /ˈto.kin/（人）</w:t>
      </w:r>
    </w:p>
    <w:p w14:paraId="398247C2">
      <w:pPr>
        <w:numPr>
          <w:ilvl w:val="1"/>
          <w:numId w:val="10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V.CCV：若CC为合法首辅音丛，则归入下一音节</w:t>
      </w:r>
    </w:p>
    <w:p w14:paraId="2FB0201D">
      <w:pPr>
        <w:numPr>
          <w:ilvl w:val="2"/>
          <w:numId w:val="10"/>
        </w:numPr>
        <w:spacing w:before="0" w:beforeAutospacing="1" w:after="0" w:afterAutospacing="1"/>
        <w:ind w:left="216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an.tro /ˈan.tro/（进入，假设词）</w:t>
      </w:r>
    </w:p>
    <w:p w14:paraId="4F6052D5">
      <w:pPr>
        <w:numPr>
          <w:ilvl w:val="1"/>
          <w:numId w:val="10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V.CCV：若CC不为合法首辅音丛，则第一个C归前一音节尾</w:t>
      </w:r>
    </w:p>
    <w:p w14:paraId="4EF219B8">
      <w:pPr>
        <w:numPr>
          <w:ilvl w:val="2"/>
          <w:numId w:val="10"/>
        </w:numPr>
        <w:spacing w:before="0" w:beforeAutospacing="1" w:after="0" w:afterAutospacing="1"/>
        <w:ind w:left="216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uls.ta /ˈul.sta/（星星，假设词）</w:t>
      </w:r>
    </w:p>
    <w:p w14:paraId="52E3F522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辅音丛的划分</w:t>
      </w:r>
      <w:r>
        <w:rPr>
          <w:rFonts w:ascii="Times New Roman" w:hAnsi="Times New Roman" w:eastAsia="宋体" w:cs="Times New Roman"/>
        </w:rPr>
        <w:t>：</w:t>
      </w:r>
    </w:p>
    <w:p w14:paraId="1B58481A">
      <w:pPr>
        <w:numPr>
          <w:ilvl w:val="1"/>
          <w:numId w:val="10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三个辅音相连：按合法性划分</w:t>
      </w:r>
    </w:p>
    <w:p w14:paraId="593FF3B7">
      <w:pPr>
        <w:numPr>
          <w:ilvl w:val="2"/>
          <w:numId w:val="10"/>
        </w:numPr>
        <w:spacing w:before="0" w:beforeAutospacing="1" w:after="0" w:afterAutospacing="1"/>
        <w:ind w:left="216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若前两个辅音可为尾，后一个可为首：VC.CCV</w:t>
      </w:r>
    </w:p>
    <w:p w14:paraId="7D95DA54">
      <w:pPr>
        <w:numPr>
          <w:ilvl w:val="2"/>
          <w:numId w:val="10"/>
        </w:numPr>
        <w:spacing w:before="0" w:beforeAutospacing="1" w:after="0" w:afterAutospacing="1"/>
        <w:ind w:left="216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若第一个辅音可为尾，后两个可为首：VCC.CV</w:t>
      </w:r>
    </w:p>
    <w:p w14:paraId="39D219C4">
      <w:pPr>
        <w:numPr>
          <w:ilvl w:val="2"/>
          <w:numId w:val="10"/>
        </w:numPr>
        <w:spacing w:before="0" w:beforeAutospacing="1" w:after="0" w:afterAutospacing="1"/>
        <w:ind w:left="216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例：kant.ra /ˈkant.ra/（歌唱，假设词）</w:t>
      </w:r>
    </w:p>
    <w:p w14:paraId="7B37EF45">
      <w:pPr>
        <w:numPr>
          <w:ilvl w:val="0"/>
          <w:numId w:val="10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词素边界优先</w:t>
      </w:r>
      <w:r>
        <w:rPr>
          <w:rFonts w:ascii="Times New Roman" w:hAnsi="Times New Roman" w:eastAsia="宋体" w:cs="Times New Roman"/>
        </w:rPr>
        <w:t>：</w:t>
      </w:r>
    </w:p>
    <w:p w14:paraId="42511CFD">
      <w:pPr>
        <w:numPr>
          <w:ilvl w:val="1"/>
          <w:numId w:val="10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派生或屈折词缀边界优先于音系规则</w:t>
      </w:r>
    </w:p>
    <w:p w14:paraId="6642B41D">
      <w:pPr>
        <w:numPr>
          <w:ilvl w:val="1"/>
          <w:numId w:val="10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例：tokin-gàlo → to.kin.ˈgà.lo（人-宾格）</w:t>
      </w:r>
    </w:p>
    <w:p w14:paraId="483FA7D9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1.4 音节类型统计</w:t>
      </w:r>
    </w:p>
    <w:p w14:paraId="264E954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基于现有词汇的音节类型频率：</w:t>
      </w:r>
    </w:p>
    <w:tbl>
      <w:tblPr>
        <w:tblStyle w:val="6"/>
        <w:tblW w:w="8519" w:type="dxa"/>
        <w:jc w:val="center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2"/>
        <w:gridCol w:w="2676"/>
        <w:gridCol w:w="1036"/>
        <w:gridCol w:w="3085"/>
      </w:tblGrid>
      <w:tr w14:paraId="040E41C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64B89A0E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音节类型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2359FD23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示例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4D473DAA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频率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114D5C15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限制</w:t>
            </w:r>
          </w:p>
        </w:tc>
      </w:tr>
      <w:tr w14:paraId="6A12E5E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2BAF2229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CV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281914C4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to, ma, so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1A9833A4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45%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04801415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无</w:t>
            </w:r>
          </w:p>
        </w:tc>
      </w:tr>
      <w:tr w14:paraId="1632FF8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10E512D1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CVC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2081D3DA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tok, man, sol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1D21D16B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30%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389389B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词尾浊塞音清化</w:t>
            </w:r>
          </w:p>
        </w:tc>
      </w:tr>
      <w:tr w14:paraId="3B0B2E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47A09565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5858E760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a, e, o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227A857C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8%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7E1DB0B3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多为功能词</w:t>
            </w:r>
          </w:p>
        </w:tc>
      </w:tr>
      <w:tr w14:paraId="37C5C5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58460E63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VC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46C01FA7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an, et, ot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3AC6FCB2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7%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52771F75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词尾清化规则适用</w:t>
            </w:r>
          </w:p>
        </w:tc>
      </w:tr>
      <w:tr w14:paraId="3FBD1F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5EAB6B10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CCV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66280D2A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pra, tri, kla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0214B97C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5010B082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仅限合法首辅音丛</w:t>
            </w:r>
          </w:p>
        </w:tc>
      </w:tr>
      <w:tr w14:paraId="700E43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0D7F9A51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CVCC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3C0ED56C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kant, mars, lomp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69EB24D6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10B93956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尾辅音丛有限制</w:t>
            </w:r>
          </w:p>
        </w:tc>
      </w:tr>
      <w:tr w14:paraId="1B643C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26BA2DC5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CCVC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1DFF1F7C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kran, blok, swet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0F71E35E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53824055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较为罕见</w:t>
            </w:r>
          </w:p>
        </w:tc>
      </w:tr>
      <w:tr w14:paraId="04BC61C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22" w:type="dxa"/>
            <w:tcMar>
              <w:left w:w="108" w:type="dxa"/>
              <w:right w:w="108" w:type="dxa"/>
            </w:tcMar>
            <w:vAlign w:val="center"/>
          </w:tcPr>
          <w:p w14:paraId="30D011E2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VCC</w:t>
            </w:r>
          </w:p>
        </w:tc>
        <w:tc>
          <w:tcPr>
            <w:tcW w:w="2676" w:type="dxa"/>
            <w:tcMar>
              <w:left w:w="108" w:type="dxa"/>
              <w:right w:w="108" w:type="dxa"/>
            </w:tcMar>
            <w:vAlign w:val="center"/>
          </w:tcPr>
          <w:p w14:paraId="27232893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ast, orn, ilk</w:t>
            </w:r>
          </w:p>
        </w:tc>
        <w:tc>
          <w:tcPr>
            <w:tcW w:w="1036" w:type="dxa"/>
            <w:tcMar>
              <w:left w:w="108" w:type="dxa"/>
              <w:right w:w="108" w:type="dxa"/>
            </w:tcMar>
            <w:vAlign w:val="center"/>
          </w:tcPr>
          <w:p w14:paraId="113EDFDA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&lt;1%</w:t>
            </w:r>
          </w:p>
        </w:tc>
        <w:tc>
          <w:tcPr>
            <w:tcW w:w="3085" w:type="dxa"/>
            <w:tcMar>
              <w:left w:w="108" w:type="dxa"/>
              <w:right w:w="108" w:type="dxa"/>
            </w:tcMar>
            <w:vAlign w:val="center"/>
          </w:tcPr>
          <w:p w14:paraId="3445856B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仅出现在词尾</w:t>
            </w:r>
          </w:p>
        </w:tc>
      </w:tr>
    </w:tbl>
    <w:p w14:paraId="071C0108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二、重音系统</w:t>
      </w:r>
    </w:p>
    <w:p w14:paraId="0C56C55B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2.1 词重音基本规则</w:t>
      </w:r>
    </w:p>
    <w:p w14:paraId="0052869B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Ueguden语言采用</w:t>
      </w:r>
      <w:r>
        <w:rPr>
          <w:rFonts w:ascii="Times New Roman" w:hAnsi="Times New Roman" w:eastAsia="宋体" w:cs="Times New Roman"/>
          <w:b/>
        </w:rPr>
        <w:t>音高重音系统</w:t>
      </w:r>
      <w:r>
        <w:rPr>
          <w:rFonts w:ascii="Times New Roman" w:hAnsi="Times New Roman" w:eastAsia="宋体" w:cs="Times New Roman"/>
        </w:rPr>
        <w:t>，具有以下特征：</w:t>
      </w:r>
    </w:p>
    <w:p w14:paraId="6DF262FE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重音表现为</w:t>
      </w:r>
      <w:r>
        <w:rPr>
          <w:rFonts w:hint="eastAsia" w:ascii="Times New Roman" w:hAnsi="Times New Roman" w:eastAsia="宋体" w:cs="Times New Roman"/>
          <w:lang w:val="en-US" w:eastAsia="zh-CN"/>
        </w:rPr>
        <w:t>音高提高约为50Hz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7DBF7613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重读音节时长延长10-20%</w:t>
      </w:r>
    </w:p>
    <w:p w14:paraId="1B7E8309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元音在重读音节中保持完整，不发生弱化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5E818CAF">
      <w:pPr>
        <w:numPr>
          <w:ilvl w:val="0"/>
          <w:numId w:val="1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长元音不额外吸引重音（不改变默认重音位置；超重词尾音节除外，见 2.1.2）。</w:t>
      </w:r>
      <w:bookmarkStart w:id="0" w:name="_GoBack"/>
      <w:bookmarkEnd w:id="0"/>
    </w:p>
    <w:p w14:paraId="5F4C70CA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2.1.1 规则重音模式</w:t>
      </w:r>
    </w:p>
    <w:p w14:paraId="212AF81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默认规则：重音落在词的倒数第二个音节上（该音节为轻音节时按 2.1.2 前移）。本规则适用于原生词与原创词；借词的重音按词典逐词标注（多保留源语言重音，如 administoratio /administʰoʁaˈtʰio/）</w:t>
      </w:r>
      <w:r>
        <w:rPr>
          <w:rFonts w:ascii="Times New Roman" w:hAnsi="Times New Roman" w:eastAsia="宋体" w:cs="Times New Roman"/>
        </w:rPr>
      </w:r>
      <w:r>
        <w:rPr>
          <w:rFonts w:ascii="Times New Roman" w:hAnsi="Times New Roman" w:eastAsia="宋体" w:cs="Times New Roman"/>
          <w:b/>
        </w:rPr>
      </w:r>
      <w:r>
        <w:rPr>
          <w:rFonts w:ascii="Times New Roman" w:hAnsi="Times New Roman" w:eastAsia="宋体" w:cs="Times New Roman"/>
        </w:rPr>
      </w:r>
    </w:p>
    <w:p w14:paraId="6CD2F1A4">
      <w:pPr>
        <w:numPr>
          <w:ilvl w:val="0"/>
          <w:numId w:val="1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例：ˈtokin（人）、ˈmason（电脑）、ˈlànga（光）</w:t>
      </w:r>
    </w:p>
    <w:p w14:paraId="6BC3982A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例外与调整</w:t>
      </w:r>
      <w:r>
        <w:rPr>
          <w:rFonts w:ascii="Times New Roman" w:hAnsi="Times New Roman" w:eastAsia="宋体" w:cs="Times New Roman"/>
        </w:rPr>
        <w:t>：</w:t>
      </w:r>
    </w:p>
    <w:p w14:paraId="68938BDD">
      <w:pPr>
        <w:numPr>
          <w:ilvl w:val="0"/>
          <w:numId w:val="1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单音节词</w:t>
      </w:r>
      <w:r>
        <w:rPr>
          <w:rFonts w:ascii="Times New Roman" w:hAnsi="Times New Roman" w:eastAsia="宋体" w:cs="Times New Roman"/>
        </w:rPr>
        <w:t>：无对比性重音，但在句中可获句重音</w:t>
      </w:r>
    </w:p>
    <w:p w14:paraId="59767965">
      <w:pPr>
        <w:numPr>
          <w:ilvl w:val="0"/>
          <w:numId w:val="1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双音节词：重音在第一个音节（倒数第二即首音节）</w:t>
      </w:r>
      <w:r>
        <w:rPr>
          <w:rFonts w:ascii="Times New Roman" w:hAnsi="Times New Roman" w:eastAsia="宋体" w:cs="Times New Roman"/>
        </w:rPr>
      </w:r>
    </w:p>
    <w:p w14:paraId="0933EBEF">
      <w:pPr>
        <w:numPr>
          <w:ilvl w:val="1"/>
          <w:numId w:val="13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ˈtoki（这个）、ˈlànga（光）</w:t>
      </w:r>
      <w:r>
        <w:rPr>
          <w:rFonts w:hint="eastAsia" w:ascii="Times New Roman" w:hAnsi="Times New Roman" w:eastAsia="宋体" w:cs="Times New Roman"/>
          <w:lang w:val="en-US" w:eastAsia="zh-CN"/>
        </w:rPr>
      </w:r>
      <w:r>
        <w:rPr>
          <w:rFonts w:ascii="Times New Roman" w:hAnsi="Times New Roman" w:eastAsia="宋体" w:cs="Times New Roman"/>
        </w:rPr>
      </w:r>
    </w:p>
    <w:p w14:paraId="60DF4C6F">
      <w:pPr>
        <w:numPr>
          <w:ilvl w:val="0"/>
          <w:numId w:val="1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带特定词缀的词</w:t>
      </w:r>
      <w:r>
        <w:rPr>
          <w:rFonts w:ascii="Times New Roman" w:hAnsi="Times New Roman" w:eastAsia="宋体" w:cs="Times New Roman"/>
        </w:rPr>
        <w:t>：</w:t>
      </w:r>
    </w:p>
    <w:p w14:paraId="6B46F25D">
      <w:pPr>
        <w:numPr>
          <w:ilvl w:val="1"/>
          <w:numId w:val="13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重音在词形完整拼合后一次确定（词缀会改变重音位置）</w:t>
      </w:r>
    </w:p>
    <w:p w14:paraId="6830519D">
      <w:pPr>
        <w:numPr>
          <w:ilvl w:val="1"/>
          <w:numId w:val="13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屈折词缀按全词计算：重音位置按全词（含词缀）的倒数第二音节确定，见 2.1.2；带固定重音的词缀（-gàlo / -gòle）在词形中以钝音符标注（tokingàlo /to.kin.ˈga.lo/）。凡不按本规则的原生词与原创词，一律用钝音符 à / ò 标注其重读音节。</w:t>
      </w:r>
    </w:p>
    <w:p w14:paraId="3FFE96E3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2.1.2 重量敏感重音（2.1.1 的补充细则）</w:t>
      </w:r>
    </w:p>
    <w:p w14:paraId="28D892A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在某些词汇中，重音位置受音节重量影响：</w:t>
      </w:r>
    </w:p>
    <w:p w14:paraId="1C13E65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音节重量定义</w:t>
      </w:r>
      <w:r>
        <w:rPr>
          <w:rFonts w:ascii="Times New Roman" w:hAnsi="Times New Roman" w:eastAsia="宋体" w:cs="Times New Roman"/>
        </w:rPr>
        <w:t>：</w:t>
      </w:r>
    </w:p>
    <w:p w14:paraId="58FE8C10">
      <w:pPr>
        <w:numPr>
          <w:ilvl w:val="0"/>
          <w:numId w:val="14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轻音节：CV或Cə（弱化元音）</w:t>
      </w:r>
    </w:p>
    <w:p w14:paraId="21C567DE">
      <w:pPr>
        <w:numPr>
          <w:ilvl w:val="0"/>
          <w:numId w:val="14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重音节：CVC、CVː、CVCC、CCV等</w:t>
      </w:r>
    </w:p>
    <w:p w14:paraId="0C2B0023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规则</w:t>
      </w:r>
      <w:r>
        <w:rPr>
          <w:rFonts w:ascii="Times New Roman" w:hAnsi="Times New Roman" w:eastAsia="宋体" w:cs="Times New Roman"/>
        </w:rPr>
        <w:t>：</w:t>
      </w:r>
    </w:p>
    <w:p w14:paraId="20F69F77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如果倒数第二音节为重音节，重音落于其上</w:t>
      </w:r>
    </w:p>
    <w:p w14:paraId="5562A4E8">
      <w:pPr>
        <w:numPr>
          <w:ilvl w:val="1"/>
          <w:numId w:val="1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ˈantrok（倒数第二 an 为重音节 CVC）</w:t>
      </w:r>
    </w:p>
    <w:p w14:paraId="497A4495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如果倒数第二音节为轻音节，重音移至倒数第三音节（如果存在）</w:t>
      </w:r>
    </w:p>
    <w:p w14:paraId="5DACB2F8">
      <w:pPr>
        <w:numPr>
          <w:ilvl w:val="1"/>
          <w:numId w:val="1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ˈa.ni.mal（动物：CV-CV-CVC）</w:t>
      </w:r>
    </w:p>
    <w:p w14:paraId="29F27408">
      <w:pPr>
        <w:numPr>
          <w:ilvl w:val="0"/>
          <w:numId w:val="15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（原「词尾超重可吸引重音」条款已删除：它是可选条款，等于取消规则；词尾超重不改变重音位置。）</w:t>
      </w:r>
    </w:p>
    <w:p w14:paraId="5AEE91C0">
      <w:pPr>
        <w:numPr>
          <w:ilvl w:val="1"/>
          <w:numId w:val="1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（示例作废，见上条）</w:t>
      </w:r>
    </w:p>
    <w:p w14:paraId="60D56CC8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2.2 复合词重音规则</w:t>
      </w:r>
    </w:p>
    <w:p w14:paraId="7C49527C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2.2.1 基本规则</w:t>
      </w:r>
    </w:p>
    <w:p w14:paraId="1EED4AD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复合词通常保留第一个成分的原重音作为主重音，第二个成分获得次重音。</w:t>
      </w:r>
    </w:p>
    <w:p w14:paraId="766FF8C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模式</w:t>
      </w:r>
      <w:r>
        <w:rPr>
          <w:rFonts w:ascii="Times New Roman" w:hAnsi="Times New Roman" w:eastAsia="宋体" w:cs="Times New Roman"/>
        </w:rPr>
        <w:t>：ˈ复合词 + ˌ复合词₂</w:t>
      </w:r>
    </w:p>
    <w:p w14:paraId="7757D511">
      <w:pPr>
        <w:numPr>
          <w:ilvl w:val="0"/>
          <w:numId w:val="16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例：ˈkænˌsov（家庭住宅）</w:t>
      </w:r>
    </w:p>
    <w:p w14:paraId="28CC4073">
      <w:pPr>
        <w:numPr>
          <w:ilvl w:val="0"/>
          <w:numId w:val="16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ˈlimˌtablo（餐桌）</w:t>
      </w:r>
    </w:p>
    <w:p w14:paraId="7EA9C194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2.2.2 特殊规则</w:t>
      </w:r>
    </w:p>
    <w:p w14:paraId="61825C01">
      <w:pPr>
        <w:numPr>
          <w:ilvl w:val="0"/>
          <w:numId w:val="17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紧密型复合词</w:t>
      </w:r>
      <w:r>
        <w:rPr>
          <w:rFonts w:ascii="Times New Roman" w:hAnsi="Times New Roman" w:eastAsia="宋体" w:cs="Times New Roman"/>
        </w:rPr>
        <w:t>：两个成分高度融合，只有一个主重音</w:t>
      </w:r>
    </w:p>
    <w:p w14:paraId="7C437C20">
      <w:pPr>
        <w:numPr>
          <w:ilvl w:val="1"/>
          <w:numId w:val="17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ˈgrandasov（大房子）而非ˌgrandaˈsov</w:t>
      </w:r>
    </w:p>
    <w:p w14:paraId="161C8804">
      <w:pPr>
        <w:numPr>
          <w:ilvl w:val="0"/>
          <w:numId w:val="17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带连接元音的复合词：重音按 2.1.2 的重量规则确定</w:t>
      </w:r>
      <w:r>
        <w:rPr>
          <w:rFonts w:ascii="Times New Roman" w:hAnsi="Times New Roman" w:eastAsia="宋体" w:cs="Times New Roman"/>
        </w:rPr>
      </w:r>
    </w:p>
    <w:p w14:paraId="4D779A1A">
      <w:pPr>
        <w:numPr>
          <w:ilvl w:val="1"/>
          <w:numId w:val="17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grandanimó（宽宏大量，granda + animó）→ /ɡran.ˈda.ni.moː/（倒数第二 ni 为轻音节，重音前移至 da）</w:t>
      </w:r>
    </w:p>
    <w:p w14:paraId="01643B35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 重音与元音质量交互</w:t>
      </w:r>
    </w:p>
    <w:p w14:paraId="55F9F6C8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2.3.1 重读音节中的元音</w:t>
      </w:r>
    </w:p>
    <w:p w14:paraId="3677B89F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保持完整发音，不发生弱化</w:t>
      </w:r>
    </w:p>
    <w:p w14:paraId="5F46B443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长元音在重读时可能进一步延长</w:t>
      </w:r>
    </w:p>
    <w:p w14:paraId="670DD64E">
      <w:pPr>
        <w:numPr>
          <w:ilvl w:val="0"/>
          <w:numId w:val="18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双元音各成分清晰</w:t>
      </w:r>
    </w:p>
    <w:p w14:paraId="36F282DD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2.3.2 非重读音节中的元音</w:t>
      </w:r>
    </w:p>
    <w:p w14:paraId="08122281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发生弱化（按音变规则）</w:t>
      </w:r>
    </w:p>
    <w:p w14:paraId="73F3BA69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/a/, /e/, /o/ → /ə/</w:t>
      </w:r>
    </w:p>
    <w:p w14:paraId="6204A5C4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高元音/i/, /u/, /ø/可能央化为/ɪ/, /ʊ/, /ʏ/</w:t>
      </w:r>
    </w:p>
    <w:p w14:paraId="476B5ECA">
      <w:pPr>
        <w:numPr>
          <w:ilvl w:val="0"/>
          <w:numId w:val="19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鼻化元音失去鼻化特征</w:t>
      </w:r>
    </w:p>
    <w:p w14:paraId="3D5D5AFE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 句重音与语调</w:t>
      </w:r>
    </w:p>
    <w:p w14:paraId="486C4691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2.4.1 中性句重音</w:t>
      </w:r>
    </w:p>
    <w:p w14:paraId="40B5BF4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在陈述句中，重音通常落在：</w:t>
      </w:r>
    </w:p>
    <w:p w14:paraId="67D33B6A">
      <w:pPr>
        <w:numPr>
          <w:ilvl w:val="0"/>
          <w:numId w:val="20"/>
        </w:numPr>
        <w:spacing w:before="0" w:beforeAutospacing="1" w:after="0" w:afterAutospacing="1"/>
        <w:ind w:left="780" w:leftChars="0" w:hanging="36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最后一个实词的重读音节上</w:t>
      </w:r>
    </w:p>
    <w:p w14:paraId="52C6D18E">
      <w:pPr>
        <w:numPr>
          <w:ilvl w:val="0"/>
          <w:numId w:val="20"/>
        </w:numPr>
        <w:spacing w:before="0" w:beforeAutospacing="1" w:after="0" w:afterAutospacing="1"/>
        <w:ind w:left="780" w:leftChars="0" w:hanging="36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如果有宾语，宾语重音强于主语</w:t>
      </w:r>
    </w:p>
    <w:p w14:paraId="13B0A98D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2.4.2 强调重音</w:t>
      </w:r>
    </w:p>
    <w:p w14:paraId="6EDA601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通过以下方式实现强调：</w:t>
      </w:r>
    </w:p>
    <w:p w14:paraId="4071AB71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音高扩大</w:t>
      </w:r>
      <w:r>
        <w:rPr>
          <w:rFonts w:ascii="Times New Roman" w:hAnsi="Times New Roman" w:eastAsia="宋体" w:cs="Times New Roman"/>
        </w:rPr>
        <w:t>：强调音节音高提升更显著（+70-100Hz）</w:t>
      </w:r>
    </w:p>
    <w:p w14:paraId="2584F05C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时长延长</w:t>
      </w:r>
      <w:r>
        <w:rPr>
          <w:rFonts w:ascii="Times New Roman" w:hAnsi="Times New Roman" w:eastAsia="宋体" w:cs="Times New Roman"/>
        </w:rPr>
        <w:t>：延长50-100%</w:t>
      </w:r>
    </w:p>
    <w:p w14:paraId="54CA069F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伴随停顿</w:t>
      </w:r>
      <w:r>
        <w:rPr>
          <w:rFonts w:ascii="Times New Roman" w:hAnsi="Times New Roman" w:eastAsia="宋体" w:cs="Times New Roman"/>
        </w:rPr>
        <w:t>：强调前短暂停顿</w:t>
      </w:r>
    </w:p>
    <w:p w14:paraId="64211CF6">
      <w:pPr>
        <w:numPr>
          <w:ilvl w:val="0"/>
          <w:numId w:val="21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元音清晰化</w:t>
      </w:r>
      <w:r>
        <w:rPr>
          <w:rFonts w:ascii="Times New Roman" w:hAnsi="Times New Roman" w:eastAsia="宋体" w:cs="Times New Roman"/>
        </w:rPr>
        <w:t>：即使是非重读元音也发完整音</w:t>
      </w:r>
    </w:p>
    <w:p w14:paraId="3FDFF360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2.4.3 语调模式</w:t>
      </w:r>
    </w:p>
    <w:p w14:paraId="5DD7725C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陈述句</w:t>
      </w:r>
      <w:r>
        <w:rPr>
          <w:rFonts w:ascii="Times New Roman" w:hAnsi="Times New Roman" w:eastAsia="宋体" w:cs="Times New Roman"/>
        </w:rPr>
        <w:t>：整体音高渐降，末尾轻微下降</w:t>
      </w:r>
    </w:p>
    <w:p w14:paraId="463FF13C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一般疑问句</w:t>
      </w:r>
      <w:r>
        <w:rPr>
          <w:rFonts w:ascii="Times New Roman" w:hAnsi="Times New Roman" w:eastAsia="宋体" w:cs="Times New Roman"/>
        </w:rPr>
        <w:t>：句末音高显著上升（+5-7半音）</w:t>
      </w:r>
    </w:p>
    <w:p w14:paraId="2F90DA7A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特殊疑问句</w:t>
      </w:r>
      <w:r>
        <w:rPr>
          <w:rFonts w:ascii="Times New Roman" w:hAnsi="Times New Roman" w:eastAsia="宋体" w:cs="Times New Roman"/>
        </w:rPr>
        <w:t>：疑问词重读，句末音高中性</w:t>
      </w:r>
    </w:p>
    <w:p w14:paraId="7800E21F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祈使句</w:t>
      </w:r>
      <w:r>
        <w:rPr>
          <w:rFonts w:ascii="Times New Roman" w:hAnsi="Times New Roman" w:eastAsia="宋体" w:cs="Times New Roman"/>
        </w:rPr>
        <w:t>：音高较高且平，句末轻微下降</w:t>
      </w:r>
    </w:p>
    <w:p w14:paraId="41F565FC">
      <w:pPr>
        <w:numPr>
          <w:ilvl w:val="0"/>
          <w:numId w:val="22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感叹句</w:t>
      </w:r>
      <w:r>
        <w:rPr>
          <w:rFonts w:ascii="Times New Roman" w:hAnsi="Times New Roman" w:eastAsia="宋体" w:cs="Times New Roman"/>
        </w:rPr>
        <w:t>：音高大范围波动，强调音节极高</w:t>
      </w:r>
    </w:p>
    <w:p w14:paraId="601891FE">
      <w:pPr>
        <w:pStyle w:val="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 重音的音变效应</w:t>
      </w:r>
    </w:p>
    <w:p w14:paraId="428C1325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2.5.1 重音引发的强化</w:t>
      </w:r>
    </w:p>
    <w:p w14:paraId="387203E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重读音节可能触发：</w:t>
      </w:r>
    </w:p>
    <w:p w14:paraId="320D6076">
      <w:pPr>
        <w:numPr>
          <w:ilvl w:val="0"/>
          <w:numId w:val="2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辅音强化：清塞音送气增强，浊塞音完全浊化</w:t>
      </w:r>
    </w:p>
    <w:p w14:paraId="111A41EA">
      <w:pPr>
        <w:numPr>
          <w:ilvl w:val="0"/>
          <w:numId w:val="2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元音完整：避免弱化，保持原音质</w:t>
      </w:r>
    </w:p>
    <w:p w14:paraId="2DCE752C">
      <w:pPr>
        <w:numPr>
          <w:ilvl w:val="0"/>
          <w:numId w:val="23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避免同化：重读音节抵抗相邻音段的影响</w:t>
      </w:r>
    </w:p>
    <w:p w14:paraId="5B592837">
      <w:pPr>
        <w:pStyle w:val="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2.5.2 重音位置与音变交互</w:t>
      </w:r>
    </w:p>
    <w:p w14:paraId="600216A0">
      <w:pPr>
        <w:numPr>
          <w:ilvl w:val="0"/>
          <w:numId w:val="24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辅音强度</w:t>
      </w:r>
      <w:r>
        <w:rPr>
          <w:rFonts w:ascii="Times New Roman" w:hAnsi="Times New Roman" w:eastAsia="宋体" w:cs="Times New Roman"/>
        </w:rPr>
        <w:t>：重读音节前的辅音可能强化</w:t>
      </w:r>
    </w:p>
    <w:p w14:paraId="43D52A86">
      <w:pPr>
        <w:numPr>
          <w:ilvl w:val="1"/>
          <w:numId w:val="24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词中浊塞音在重音前完全浊化</w:t>
      </w:r>
    </w:p>
    <w:p w14:paraId="4C7291D6">
      <w:pPr>
        <w:numPr>
          <w:ilvl w:val="1"/>
          <w:numId w:val="24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擦音在重音前可能颚化</w:t>
      </w:r>
    </w:p>
    <w:p w14:paraId="7D8B138D">
      <w:pPr>
        <w:numPr>
          <w:ilvl w:val="0"/>
          <w:numId w:val="0"/>
        </w:numPr>
        <w:spacing w:before="0" w:beforeAutospacing="1" w:after="0" w:afterAutospacing="1"/>
        <w:rPr>
          <w:rFonts w:ascii="Times New Roman" w:hAnsi="Times New Roman" w:eastAsia="宋体" w:cs="Times New Roman"/>
        </w:rPr>
      </w:pPr>
    </w:p>
    <w:p w14:paraId="708CC6C0">
      <w:pPr>
        <w:numPr>
          <w:ilvl w:val="0"/>
          <w:numId w:val="0"/>
        </w:numPr>
        <w:spacing w:before="0" w:beforeAutospacing="1" w:after="0" w:afterAutospacing="1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lang w:val="en-US" w:eastAsia="zh-CN"/>
        </w:rPr>
        <w:t>2.6 应用示例</w:t>
      </w:r>
    </w:p>
    <w:p w14:paraId="7EA2AB57">
      <w:pPr>
        <w:numPr>
          <w:ilvl w:val="0"/>
          <w:numId w:val="25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单词分析：grandanimó（宽宏大量）</w:t>
      </w:r>
    </w:p>
    <w:p w14:paraId="2F062930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音节划分：gran·da·ni·mó /ɡran.ˈda.ni.moː/</w:t>
      </w:r>
    </w:p>
    <w:p w14:paraId="7F22D494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音节类型：CCVC - CV - CV - CV</w:t>
      </w:r>
    </w:p>
    <w:p w14:paraId="33546DC3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重音位置：ˈda（倒数第三音节，因倒数第二音节为轻音节）</w:t>
      </w:r>
    </w:p>
    <w:p w14:paraId="431872C2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音变：非重读元音保持完整（紧邻重音的音节不弱化）</w:t>
      </w:r>
    </w:p>
    <w:p w14:paraId="4E9B4EB7">
      <w:pPr>
        <w:numPr>
          <w:ilvl w:val="0"/>
          <w:numId w:val="25"/>
        </w:numPr>
        <w:spacing w:before="0" w:beforeAutospacing="1" w:after="0" w:afterAutospacing="1"/>
        <w:ind w:left="72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</w:rPr>
        <w:t>句子分析：Yaph mason-gàlo dæ masonifoma.</w:t>
      </w:r>
    </w:p>
    <w:p w14:paraId="594CDE2E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音节：Ya·ph ma·son·gà·lo dæ ma·so·ni·fo·ma</w:t>
      </w:r>
    </w:p>
    <w:p w14:paraId="7A3D0B88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词重音：ˈYa·ph, ˈma·son, ˈgà·lo, ma·so·ˈni·fo·ma</w:t>
      </w:r>
    </w:p>
    <w:p w14:paraId="00B78DF5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句重音：ˈgà·lo（宾语）和ˈni（动词词根）</w:t>
      </w:r>
    </w:p>
    <w:p w14:paraId="3F13BC08">
      <w:pPr>
        <w:numPr>
          <w:ilvl w:val="1"/>
          <w:numId w:val="25"/>
        </w:numPr>
        <w:spacing w:before="0" w:beforeAutospacing="1" w:after="0" w:afterAutospacing="1"/>
        <w:ind w:left="1440" w:hanging="36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</w:rPr>
        <w:t>语调：陈述句，整体渐降，末尾轻微下降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AE42B"/>
    <w:multiLevelType w:val="multilevel"/>
    <w:tmpl w:val="849AE42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D6E6551"/>
    <w:multiLevelType w:val="singleLevel"/>
    <w:tmpl w:val="8D6E65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99AFDB2"/>
    <w:multiLevelType w:val="multilevel"/>
    <w:tmpl w:val="999AFDB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A89D1573"/>
    <w:multiLevelType w:val="singleLevel"/>
    <w:tmpl w:val="A89D157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B6B291E4"/>
    <w:multiLevelType w:val="singleLevel"/>
    <w:tmpl w:val="B6B291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07125B3"/>
    <w:multiLevelType w:val="multilevel"/>
    <w:tmpl w:val="C07125B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C1B56197"/>
    <w:multiLevelType w:val="singleLevel"/>
    <w:tmpl w:val="C1B561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986790A"/>
    <w:multiLevelType w:val="multilevel"/>
    <w:tmpl w:val="C98679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DAF84097"/>
    <w:multiLevelType w:val="singleLevel"/>
    <w:tmpl w:val="DAF840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7CBFEF5"/>
    <w:multiLevelType w:val="singleLevel"/>
    <w:tmpl w:val="E7CBFEF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3C02C17"/>
    <w:multiLevelType w:val="singleLevel"/>
    <w:tmpl w:val="F3C02C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5A9D64C"/>
    <w:multiLevelType w:val="multilevel"/>
    <w:tmpl w:val="F5A9D6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FFF643CF"/>
    <w:multiLevelType w:val="singleLevel"/>
    <w:tmpl w:val="FFF643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0A7D7F36"/>
    <w:multiLevelType w:val="singleLevel"/>
    <w:tmpl w:val="0A7D7F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1042271B"/>
    <w:multiLevelType w:val="singleLevel"/>
    <w:tmpl w:val="104227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1FAF8AB4"/>
    <w:multiLevelType w:val="singleLevel"/>
    <w:tmpl w:val="1FAF8AB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257EEA20"/>
    <w:multiLevelType w:val="singleLevel"/>
    <w:tmpl w:val="257EEA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307610D1"/>
    <w:multiLevelType w:val="multilevel"/>
    <w:tmpl w:val="307610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3C0344AC"/>
    <w:multiLevelType w:val="multilevel"/>
    <w:tmpl w:val="3C0344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9">
    <w:nsid w:val="45DABD3A"/>
    <w:multiLevelType w:val="multilevel"/>
    <w:tmpl w:val="45DABD3A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49879155"/>
    <w:multiLevelType w:val="singleLevel"/>
    <w:tmpl w:val="498791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4D1AA5F3"/>
    <w:multiLevelType w:val="singleLevel"/>
    <w:tmpl w:val="4D1AA5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4E0A1237"/>
    <w:multiLevelType w:val="singleLevel"/>
    <w:tmpl w:val="4E0A12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5191249B"/>
    <w:multiLevelType w:val="multilevel"/>
    <w:tmpl w:val="5191249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5C62F09A"/>
    <w:multiLevelType w:val="singleLevel"/>
    <w:tmpl w:val="5C62F09A"/>
    <w:lvl w:ilvl="0" w:tentative="0">
      <w:start w:val="1"/>
      <w:numFmt w:val="decimal"/>
      <w:lvlText w:val="%1."/>
      <w:lvlJc w:val="left"/>
      <w:pPr>
        <w:ind w:left="780" w:hanging="360"/>
      </w:pPr>
      <w:rPr>
        <w:sz w:val="24"/>
      </w:rPr>
    </w:lvl>
  </w:abstractNum>
  <w:num w:numId="1">
    <w:abstractNumId w:val="22"/>
  </w:num>
  <w:num w:numId="2">
    <w:abstractNumId w:val="1"/>
  </w:num>
  <w:num w:numId="3">
    <w:abstractNumId w:val="16"/>
  </w:num>
  <w:num w:numId="4">
    <w:abstractNumId w:val="14"/>
  </w:num>
  <w:num w:numId="5">
    <w:abstractNumId w:val="17"/>
  </w:num>
  <w:num w:numId="6">
    <w:abstractNumId w:val="19"/>
  </w:num>
  <w:num w:numId="7">
    <w:abstractNumId w:val="7"/>
  </w:num>
  <w:num w:numId="8">
    <w:abstractNumId w:val="9"/>
  </w:num>
  <w:num w:numId="9">
    <w:abstractNumId w:val="12"/>
  </w:num>
  <w:num w:numId="10">
    <w:abstractNumId w:val="18"/>
  </w:num>
  <w:num w:numId="11">
    <w:abstractNumId w:val="21"/>
  </w:num>
  <w:num w:numId="12">
    <w:abstractNumId w:val="10"/>
  </w:num>
  <w:num w:numId="13">
    <w:abstractNumId w:val="11"/>
  </w:num>
  <w:num w:numId="14">
    <w:abstractNumId w:val="6"/>
  </w:num>
  <w:num w:numId="15">
    <w:abstractNumId w:val="23"/>
  </w:num>
  <w:num w:numId="16">
    <w:abstractNumId w:val="4"/>
  </w:num>
  <w:num w:numId="17">
    <w:abstractNumId w:val="2"/>
  </w:num>
  <w:num w:numId="18">
    <w:abstractNumId w:val="8"/>
  </w:num>
  <w:num w:numId="19">
    <w:abstractNumId w:val="13"/>
  </w:num>
  <w:num w:numId="20">
    <w:abstractNumId w:val="24"/>
  </w:num>
  <w:num w:numId="21">
    <w:abstractNumId w:val="20"/>
  </w:num>
  <w:num w:numId="22">
    <w:abstractNumId w:val="3"/>
  </w:num>
  <w:num w:numId="23">
    <w:abstractNumId w:val="15"/>
  </w:num>
  <w:num w:numId="24">
    <w:abstractNumId w:val="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E071A"/>
    <w:rsid w:val="1EAD1643"/>
    <w:rsid w:val="3AD620A3"/>
    <w:rsid w:val="610417D1"/>
    <w:rsid w:val="645742B2"/>
    <w:rsid w:val="67081070"/>
    <w:rsid w:val="77297174"/>
    <w:rsid w:val="7E11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color w:val="8C3D26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8C3D26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color w:val="8C3D26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color w:val="8C3D26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2258</Words>
  <Characters>3212</Characters>
  <Lines>0</Lines>
  <Paragraphs>0</Paragraphs>
  <TotalTime>3</TotalTime>
  <ScaleCrop>false</ScaleCrop>
  <LinksUpToDate>false</LinksUpToDate>
  <CharactersWithSpaces>3402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2025-12-14T10:42:00Z</dcterms:created>
  <dc:creator>Administrator</dc:creator>
  <cp:lastModifiedBy>吴其珹</cp:lastModifiedBy>
  <dcterms:modified xsi:type="dcterms:W3CDTF">2026-07-23T09:00:01Z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D30F50F80B37449C99E702284E3B182C_12</vt:lpwstr>
  </property>
</Properties>
</file>