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 Bara konstruktionsindex används för klass och rangordning; driftindex och totalindex är information.</w:t>
      </w:r>
    </w:p>
    <w:p>
      <w:pPr>
        <w:spacing w:after="120"/>
      </w:pPr>
      <w:r>
        <w:t xml:space="preserve">Konstruktionskoderna viktas dessutom inbördes med </w:t>
      </w:r>
      <w:r>
        <w:rPr>
          <w:rFonts w:ascii="Consolas" w:cs="Consolas" w:eastAsia="Consolas" w:hAnsi="Consolas"/>
          <w:sz w:val="20"/>
          <w:szCs w:val="20"/>
          <w:shd w:fill="F2F2F2" w:val="clear"/>
        </w:rPr>
        <w:t xml:space="preserve">KODFAKTOR</w:t>
      </w:r>
      <w:r>
        <w:t xml:space="preserve"> i KONFIG. Syftet är att hitta ledningar som bör strumpinfodras medan det fortfarande går, innan de blivit så dåliga att bara schakt återstår. Sprickor, rörbrott och deformation är de tydligaste tecknen på att röret är på väg att brista och väger fullt (1,0). Ytskada, där väggen tunnas ut men röret fortfarande bär, väger 0,7 – utom grad 4, som enligt P93 betyder att rörväggen är genomfrätt och i praktiken är ett rörbrott; den väger fullt (</w:t>
      </w:r>
      <w:r>
        <w:rPr>
          <w:rFonts w:ascii="Consolas" w:cs="Consolas" w:eastAsia="Consolas" w:hAnsi="Consolas"/>
          <w:sz w:val="20"/>
          <w:szCs w:val="20"/>
          <w:shd w:fill="F2F2F2" w:val="clear"/>
        </w:rPr>
        <w:t xml:space="preserve">GRADFAKTOR</w:t>
      </w:r>
      <w:r>
        <w:t xml:space="preserve">). Fogförskjutning och fog-/rörfel är i första hand läckagepunkter som strumpan tätar och väger 0,6. Defekt anslutning väger 0,3 eftersom den ändå åtgärdas med hatt när anslutningen öppnas efter infodringen. En ytskada grad 3 ger alltså 7 p i stället för 10. Cirkulära sprickor (attribut CIRK) viktas dessutom med 0,7 (</w:t>
      </w:r>
      <w:r>
        <w:rPr>
          <w:rFonts w:ascii="Consolas" w:cs="Consolas" w:eastAsia="Consolas" w:hAnsi="Consolas"/>
          <w:sz w:val="20"/>
          <w:szCs w:val="20"/>
          <w:shd w:fill="F2F2F2" w:val="clear"/>
        </w:rPr>
        <w:t xml:space="preserve">ATTRIBUTFAKTOR</w:t>
      </w:r>
      <w:r>
        <w:t xml:space="preserve">): de beror oftast på en sättning vid en fog och är mindre allvarliga för bärigheten än komplexa och längsgående sprickor, som är de egentliga förvarningarna om brott.</w:t>
      </w:r>
    </w:p>
    <w:p>
      <w:pPr>
        <w:spacing w:after="120"/>
      </w:pPr>
      <w:r>
        <w:t xml:space="preserve">Utan kodviktning blev 58 av 185 sträckor i DUF 701 klass A, och 43 av dem bara på grund av ytskador. Med viktningen blir 40 sträckor A; de som flyttas till B har i nästan alla fall en enda löpande ytskada grad 3 och inga sprickor.</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konstruktionsindex, därefter efter högsta konstruktionsgrad. Driftskador påverkar inte ordningen – att en ledning har rötter är inte ett skäl att renovera den.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varken prioritetsklassen eller rangordningen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(kamera/inspektion avbruten, oavsett angiven orsak), eller den filmade längden är kortare än 85 % av ledningens längd i kartan;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eller som omfilmning efter spolning. Den nyaste hela filmen gäller och äldre eller ofullständiga filmer räknas inte; två avbrutna filmer från var sin brunn slås ihop till en sträcka med observationerna på en gemensam axel, där den nyare filmen gäller i överlappet. Finns samma sträcka i en äldre TV3-fil (tidigare inspektionsomgång) gäller den nyaste och den äldre redovisas som referens: klass och index då mot nu, och om sträckan förvärrats.</w:t>
      </w:r>
    </w:p>
    <w:p>
      <w:pPr>
        <w:pStyle w:val="ListParagraph"/>
        <w:numPr>
          <w:ilvl w:val="0"/>
          <w:numId w:val="2"/>
        </w:numPr>
        <w:spacing w:after="80"/>
      </w:pPr>
      <w:r>
        <w:rPr>
          <w:b/>
          <w:bCs/>
        </w:rPr>
        <w:t xml:space="preserve">Höjdfel i filen</w:t>
      </w:r>
      <w:r>
        <w:t xml:space="preserve"> – brunnshöjder eller inklinometerhöjder i orimlig storleksordning (skillnad över 50 m, eller saknat-värden som −9999) används inte: lutningen anges som okänd och profilen ritas inte. Är bara brunnshöjderna fel räknas lutningen ur inklinometerns ändpunkter.</w:t>
      </w:r>
    </w:p>
    <w:p>
      <w:pPr>
        <w:pStyle w:val="ListParagraph"/>
        <w:numPr>
          <w:ilvl w:val="0"/>
          <w:numId w:val="2"/>
        </w:numPr>
        <w:spacing w:after="80"/>
      </w:pPr>
      <w:r>
        <w:rPr>
          <w:b/>
          <w:bCs/>
        </w:rPr>
        <w:t xml:space="preserve">Kontroll mot kartan</w:t>
      </w:r>
      <w:r>
        <w:t xml:space="preserve"> – med GIS-data flaggas sträckor där film och karta inte stämmer: brunn som saknas i kartan (med förslag på rätt littera), ingen ledning mellan brunnarna, fall eller flödesriktning som avviker från kartans vattengång, annat material eller dimension, renoverad enligt kartan men inte relinad enligt filmen. Flaggorna påverkar inte klassen men pekar ut fel i någondera källan.</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ListParagraph"/>
        <w:numPr>
          <w:ilvl w:val="0"/>
          <w:numId w:val="2"/>
        </w:numPr>
        <w:spacing w:after="80"/>
      </w:pPr>
      <w:r>
        <w:rPr>
          <w:b/>
          <w:bCs/>
        </w:rPr>
        <w:t xml:space="preserve">Höjdläge och täckning</w:t>
      </w:r>
      <w:r>
        <w:t xml:space="preserve"> – med markhöjder och GIS-vattengång från kartan (ArcMap-verktyget Markprofil) hängs filmens profil upp på GIS-nivåerna i RH2000, eftersom filmerna ofta har ett lokalt nollplan där bara höjdskillnaden mellan brunnarna är pålitlig: avviker filens brunnshöjder mindre än 0,3 m används de som de är, stämmer fallet förskjuts profilen, annars korrigeras även lutningen linjärt mellan brunnarna. Täckningen (mark minus hjässa) beräknas per markpunkt; under 1,0 m eller negativ täckning flaggas. Vid avbruten inspektion hängs profilen bara upp i den brunn kameran startade i, utan lutningskorrigering, och täckningen beräknas för den filmade delen. Täckningen påverkar inte prioritetsklassen men är ett viktigt underlag för åtgärdsval.</w:t>
      </w:r>
    </w:p>
    <w:p>
      <w:pPr>
        <w:pStyle w:val="Heading1"/>
      </w:pPr>
      <w:r>
        <w:t xml:space="preserve">8. Åtgärdspaket och kostnad</w:t>
      </w:r>
    </w:p>
    <w:p>
      <w:pPr>
        <w:spacing w:after="120"/>
      </w:pPr>
      <w:r>
        <w:t xml:space="preserve">Prioriteringen översätts till en plan i fliken Etapper. Sträckor med gällande klass A (manuell bedömning går före maskinell) får metoden strumpinfodring; relinade sträckor och klass B–E får ingen egen åtgärd. Metoden byts aldrig automatiskt till schakt – det är ett manuellt beslut som skrivs i kolumnen Manuell bedömning, med stöd av flaggan för grad 4-rörbrott och deformation. Sammanhängande sträckor med samma metod bildar en etapp. En eller två B-sträckor i rad mellan två åtgärdssträckor tas med i etappen, liksom en C- eller D-sträcka kortare än 60 m, eftersom en sammanhängande infodring oftast är billigare än två etableringar; B-sträckor i övrigt lämnas till nästa planeringsomgång.</w:t>
      </w:r>
    </w:p>
    <w:p>
      <w:pPr>
        <w:spacing w:after="120"/>
      </w:pPr>
      <w:r>
        <w:t xml:space="preserve">Strumpan installeras från en nedstigningsbrunn. Har en sträcka bara tillsyns- eller rensbrunnar schaktas en brunn fram och ersätts med en nedstigningsbrunn. Framschaktningen räknas per brunn i etappen: en gemensam mittenbrunn mellan två sådana sträckor schaktas fram en gång och ger åtkomst åt båda hållen, och skriptet väljer så få brunnar som möjligt (valet kan låsas manuellt). Punktlagning före strumpning bedöms manuellt i meter; skriptet pekar ut de skador som brukar kräva det.</w:t>
      </w:r>
    </w:p>
    <w:p>
      <w:pPr>
        <w:spacing w:after="120"/>
      </w:pPr>
      <w:r>
        <w:t xml:space="preserve">Kostnaden per strumpsträcka är foder (kr/m efter dimension) × längd + hattar (kr/st) × antal anslutningar + lagning (kr/m) × bedömda meter. Per etapp tillkommer framschaktning och ny brunn per framschaktad brunn samt en fast etablering. Alla belopp kommer ur kostnadsfilen, som i leveransen innehåller schabloner. Schakt kostnadsberäknas inte, eftersom kostnaden beror på djup och spontbehov; schaktsträckor redovisas med längd och dimension så att de inte glöms i summeringen.</w:t>
      </w:r>
    </w:p>
    <w:p>
      <w:pPr>
        <w:pStyle w:val="Heading1"/>
      </w:pPr>
      <w:r>
        <w:t xml:space="preserve">9.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10. Exempel</w:t>
      </w:r>
    </w:p>
    <w:p>
      <w:pPr>
        <w:spacing w:after="120"/>
      </w:pPr>
      <w:r>
        <w:t xml:space="preserve">Sträckan SRB64009 → SRB1016560 (betong 225 mm, 35,1 m) har nio ytskador grad 4, en komplex spricka grad 3 och en löpande ytskada grad 3 över 35 m. Poäng: 9 × 30 (ytskada grad 4 väger fullt) + 10 × 0,7 (cirkulär spricka) + 10 × 0,7 × 3,5 = 301,5. Konstruktionsindex: 301,5 / 35,1 × 100 ≈ 859 p/100 m. Klass A (konstruktionsindex ≥ 80), rang 1 i uppdraget DUF 701.</w:t>
      </w:r>
    </w:p>
    <w:p>
      <w:pPr>
        <w:spacing w:after="120"/>
      </w:pPr>
      <w:r>
        <w:t xml:space="preserve">Sträckan KRB68713 → KRB68712 (betong 225 mm, 9,7 m) har en spricka grad 3, en ytskada grad 3 och ett inträngande hinder grad 2. Poäng: 10 (spricka) + 10 × 0,7 (ytskada, kodvikt) + 3 × 0,5 (hinder, driftskada) = 18,5. Eftersom sträckan är kortare än 20 m används 20 m som nämnare: 18,5 / 20 × 100 = 92,5 p/100 m, varav konstruktion 17 / 20 × 100 = 85. Klass A (konstruktionsindex ≥ 80), men bara med liten marginal – utan kodviktningen hade indexet varit 100.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2026-10-23T10:25:47.910Z</dcterms:created>
  <dcterms:modified xsi:type="dcterms:W3CDTF">2026-10-23T10:25:47.910Z</dcterms:modified>
</cp:coreProperties>
</file>

<file path=docProps/custom.xml><?xml version="1.0" encoding="utf-8"?>
<Properties xmlns="http://schemas.openxmlformats.org/officeDocument/2006/custom-properties" xmlns:vt="http://schemas.openxmlformats.org/officeDocument/2006/docPropsVTypes"/>
</file>