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och </w:t>
      </w:r>
      <w:r>
        <w:rPr>
          <w:rFonts w:ascii="Consolas" w:cs="Consolas" w:eastAsia="Consolas" w:hAnsi="Consolas"/>
          <w:sz w:val="20"/>
          <w:szCs w:val="20"/>
          <w:shd w:fill="F2F2F2" w:val="clear"/>
        </w:rPr>
        <w:t xml:space="preserve">_korsningar.csv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Ventilgropar räknas inte, eftersom ventilerna inte finns i underlaget.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servis kostar som dricksvattenservis helschakt, två eller tre i samma grav som komplett servis, delat lika.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2026-10-22T11:32:04.506Z</dcterms:created>
  <dcterms:modified xsi:type="dcterms:W3CDTF">2026-10-22T11:32:04.507Z</dcterms:modified>
</cp:coreProperties>
</file>

<file path=docProps/custom.xml><?xml version="1.0" encoding="utf-8"?>
<Properties xmlns="http://schemas.openxmlformats.org/officeDocument/2006/custom-properties" xmlns:vt="http://schemas.openxmlformats.org/officeDocument/2006/docPropsVTypes"/>
</file>