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 (mönstret </w:t>
      </w:r>
      <w:r>
        <w:rPr>
          <w:rFonts w:ascii="Consolas" w:cs="Consolas" w:eastAsia="Consolas" w:hAnsi="Consolas"/>
          <w:sz w:val="20"/>
          <w:szCs w:val="20"/>
          <w:shd w:fill="F2F2F2" w:val="clear"/>
        </w:rPr>
        <w:t xml:space="preserve">GRENROR_LITTERA</w:t>
      </w:r>
      <w:r>
        <w:t xml:space="preserve"> i KONFIG)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Har analysen hittat GIS-vägen via andra brunnar (filmen gick förbi brunnar utan att stanna, se 7.11) får sträckan passera just de brunnarna även om max hopp är lägre, och loggen räknar dem.</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2026-10-06T19:14:57.362Z</dcterms:created>
  <dcterms:modified xsi:type="dcterms:W3CDTF">2026-10-06T19:14:57.362Z</dcterms:modified>
</cp:coreProperties>
</file>

<file path=docProps/custom.xml><?xml version="1.0" encoding="utf-8"?>
<Properties xmlns="http://schemas.openxmlformats.org/officeDocument/2006/custom-properties" xmlns:vt="http://schemas.openxmlformats.org/officeDocument/2006/docPropsVTypes"/>
</file>