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totalindex, därefter efter högsta konstruktionsgrad.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inte prioritetsklassen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med attribut HINDE;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Bedömningarna bör slås ihop manuellt.</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Heading1"/>
      </w:pPr>
      <w:r>
        <w:t xml:space="preserve">8.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Grad 4-ytskada räcker ensamt för klass A. Det är rimligt för betong (armering kan vara synlig) men kan behöva justeras för andra material.</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9. Exempel</w:t>
      </w:r>
    </w:p>
    <w:p>
      <w:pPr>
        <w:spacing w:after="120"/>
      </w:pPr>
      <w:r>
        <w:t xml:space="preserve">Sträckan SRB64009 → SRB1016560 (betong 225 mm, 35,1 m) har nio ytskador grad 4, en komplex spricka grad 3 och en löpande ytskada grad 3 över 35 m. Poäng: 9 × 30 + 10 + 10 × 3,5 = 315. Konstruktionsindex: 315 / 35,1 × 100 = 898 p/100 m. Klass A (grad 4 finns), rang 1 i uppdraget DUF 701.</w:t>
      </w:r>
    </w:p>
    <w:p>
      <w:pPr>
        <w:spacing w:after="120"/>
      </w:pPr>
      <w:r>
        <w:t xml:space="preserve">Sträckan KRB68713 → KRB68712 (betong 225 mm, 9,7 m) har en spricka grad 3, en ytskada grad 3 och ett inträngande hinder grad 2. Poäng: 10 + 10 + 3 × 0,5 = 21,5. Eftersom sträckan är kortare än 20 m används 20 m som nämnare: 21,5 / 20 × 100 = 108 p/100 m, varav konstruktion 100. Klass A (konstruktionsindex ≥ 80).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2026-09-27T07:21:31.950Z</dcterms:created>
  <dcterms:modified xsi:type="dcterms:W3CDTF">2026-09-27T07:21:31.950Z</dcterms:modified>
</cp:coreProperties>
</file>

<file path=docProps/custom.xml><?xml version="1.0" encoding="utf-8"?>
<Properties xmlns="http://schemas.openxmlformats.org/officeDocument/2006/custom-properties" xmlns:vt="http://schemas.openxmlformats.org/officeDocument/2006/docPropsVTypes"/>
</file>