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littera: brunnslittera.csv                # ersättningslittera, se 3.3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--behall-rapporter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Hoppar över PDF-rapporter som redan finns i utdatamappen och skriver bara de som saknas. Länkarna i Excel pekar ändå på dem. Använd vid omkörningar när bara Excel eller kartunderlaget ska uppdateras; kör utan flaggan (eller töm mappen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</w:t>
            </w:r>
            <w:r>
              <w:t xml:space="preserve">) när rapportlayouten ändrats.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--littera FIL.CSV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CSV med ersättningslittera för brunnar som märkts fel vid filmningen (se 3.3). Kan även anges i listfilen.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2"/>
      </w:pPr>
      <w:r>
        <w:t xml:space="preserve">3.3 Rätta felmärkta brunnar</w:t>
      </w:r>
    </w:p>
    <w:p>
      <w:pPr>
        <w:spacing w:after="120"/>
      </w:pPr>
      <w:r>
        <w:t xml:space="preserve">Entreprenören skriver ibland fel littera på en brunn, och då hittar varken Excel-filen eller kartverktyget rätt sträcka. I stället för att redigera TV3-filen anger du rättningarna en gång i en CSV-fil, som används varje gång analysen körs: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fel;ratt;fil;nr;motbrunn;kommentar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BDNB1005633;BDNB1015633;;;;heter BDNB1015633 i kartan – gäller överallt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KRB65728;KRB68728;DUF 701;60;;bara sträcka 60 i DUF 701.TV3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KRB65728;KRB68728;;;KTB1016017;bara filmningar mellan KRB65728 och KTB1016017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ratt</w:t>
      </w:r>
      <w:r>
        <w:t xml:space="preserve"> är felaktigt respektive rätt littera. Avgränsare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,</w:t>
      </w:r>
      <w:r>
        <w:t xml:space="preserve"> eller tab (filen kan redigeras i Excel). Rubrikraden bestämmer kolumnordningen; utan rubrik antas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fel;ratt;kommentar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-rader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nr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 är valfria och </w:t>
      </w:r>
      <w:r>
        <w:rPr>
          <w:b/>
          <w:bCs/>
        </w:rPr>
        <w:t xml:space="preserve">begränsar</w:t>
      </w:r>
      <w:r>
        <w:t xml:space="preserve"> raden: till en TV3-fil (filnamn, med eller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), till ett sträcknummer (kolumnen Nr i fliken Prioritering) eller till filmningar där den andra brunnen är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. Använd dem när det felaktiga litterat också är ett riktigt littera på andra sträckor – då får bara den felmärkta filmningen rättningen. Tomma = gäller överallt.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Har flera rader samma felaktiga littera vinner den med flest villkor, så en begränsad rad kan ligga ovanpå en global.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Jämförelsen tar inte hänsyn till versaler, mellanslag eller bindestreck.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Filen anges i listfilen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littera: brunnslittera.csv</w:t>
      </w:r>
      <w:r>
        <w:t xml:space="preserve"> (relativ sökväg tolkas från listfilens mapp) eller på kommandoraden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--littera</w:t>
      </w:r>
      <w:r>
        <w:t xml:space="preserve">. Flera filer kan anges.</w:t>
      </w:r>
    </w:p>
    <w:p>
      <w:pPr>
        <w:spacing w:after="120"/>
      </w:pPr>
      <w:r>
        <w:t xml:space="preserve">Rättningen slår igenom i start-, slut- och utgångsbrunn överallt: fliken Prioritering får kolumnen </w:t>
      </w:r>
      <w:r>
        <w:rPr>
          <w:b/>
          <w:bCs/>
        </w:rPr>
        <w:t xml:space="preserve">Littera rättat</w:t>
      </w:r>
      <w:r>
        <w:t xml:space="preserve"> med 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BDNB1005633→BDNB1015633</w:t>
      </w:r>
      <w:r>
        <w:t xml:space="preserve">, PDF-rapporten får en rad med samma text,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skickar det rättade litterat till kartverktyget. Rapportfilerna får namn efter det rättade litterat.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index m.m.), schematisk översikt med skador och anslutningar, observationstabell färgad efter grad, inklinometerprofil med lutning och svacka, samt de fotografier som hittats i mediamapparna. Bildnamnen i observationstabellen är klickbara och hoppar till fotografiet längre bak i rapporten.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i cm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Kolumnerna Manuell bedömning och Kommentar är tomma och avsedda för den egna genomgången av sträckorna.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 i driftindex.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Viktning av konstruktionskoder inbördes.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bara graden avgör.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YTS 0,7; FOG, FRF 0,6; DEA 0,3; övriga 1,0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LOPANDE_ENHET_M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Längd (m) per poängenhet för löpande skador: poäng × längd / enhet, minst 1.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räkna en gång oavsett längd.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LOPANDE_TAK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Högsta faktor en löpande skada kan få.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inget tak.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GRAD4_KODER_A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där en enda grad 4-observation räcker för klass A.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alla konstruktionskoder.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RBR, DEF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Platsgjuten brunnspunkt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Inspektionsprotokoll (PDF)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sträckans PDF-rapport, för hyperlänk (se 7.4). Tomt om inga rapporter skapades.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VIDEO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Videofil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filmen, om den hittades vid analysen.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sätts en gång i ArcMap och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-fil; verktyget Skapa ledningslager applicerar filen automatiskt om den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(fältet Symbologi förifylls) eller anges i fältet.</w:t>
      </w:r>
    </w:p>
    <w:p>
      <w:pPr>
        <w:spacing w:after="120"/>
      </w:pPr>
      <w:r>
        <w:t xml:space="preserve">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i 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.</w:t>
      </w:r>
    </w:p>
    <w:p>
      <w:pPr>
        <w:pStyle w:val="Heading2"/>
      </w:pPr>
      <w:r>
        <w:t xml:space="preserve">7.3 Öppna PDF-rapporten från kartan</w:t>
      </w:r>
    </w:p>
    <w:p>
      <w:pPr>
        <w:spacing w:after="120"/>
      </w:pPr>
      <w:r>
        <w:t xml:space="preserve">Objekten har fältet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med sökvägen till sträckans inspektionsprotokoll. Gör en gång, i lagrets egenskaper: </w:t>
      </w:r>
      <w:r>
        <w:rPr>
          <w:b/>
          <w:bCs/>
        </w:rPr>
        <w:t xml:space="preserve">Display &gt; Support Hyperlinks using field</w:t>
      </w:r>
      <w:r>
        <w:t xml:space="preserve">,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och </w:t>
      </w:r>
      <w:r>
        <w:rPr>
          <w:b/>
          <w:bCs/>
        </w:rPr>
        <w:t xml:space="preserve">Document</w:t>
      </w:r>
      <w:r>
        <w:t xml:space="preserve">. Sedan öppnar Hyperlänk-verktyget (blixten i verktygsfältet Tools) PDF:en när du klickar på en ledning, och i Identify-fönstret blir fältet klickbart. Samma sak går att göra för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om du hellre vill öppna filmen. Inställningen sparas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-filen tillsammans med symbologin, så den följer med automatiskt vid nästa körning.</w:t>
      </w:r>
    </w:p>
    <w:p>
      <w:pPr>
        <w:spacing w:after="120"/>
      </w:pPr>
      <w:r>
        <w:t xml:space="preserve">Sökvägarna måste fungera </w:t>
      </w:r>
      <w:r>
        <w:rPr>
          <w:b/>
          <w:bCs/>
        </w:rPr>
        <w:t xml:space="preserve">på den dator där ArcMap körs</w:t>
      </w:r>
      <w:r>
        <w:t xml:space="preserve">. Kör du analysen på din egen dator men ArcMap i Citrix: lägg utdatamappen (med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rapporter</w:t>
      </w:r>
      <w:r>
        <w:t xml:space="preserve">) på en nätverksplats som Citrix-klienten når, och läs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därifrån – PDF-sökvägarna härleds från JSON-filens mapp, så då stämmer de. Filmerna ligger på en annan plats än analysen fann dem; ange under </w:t>
      </w:r>
      <w:r>
        <w:rPr>
          <w:b/>
          <w:bCs/>
        </w:rPr>
        <w:t xml:space="preserve">Hyperlänkar</w:t>
      </w:r>
      <w:r>
        <w:t xml:space="preserve"> i verktyget mappen med filmerna som Citrix-klienten ser den, så byggs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av filnamnet i den mappen. På samma sätt kan rapportmappen pekas ut om den inte ligger bredvid JSON-filen. Flyttar du mapparna, kör verktyget igen så räknas sökvägarna om.</w:t>
      </w:r>
    </w:p>
    <w:p>
      <w:pPr>
        <w:pStyle w:val="Heading2"/>
      </w:pPr>
      <w:r>
        <w:t xml:space="preserve">7.4 Webb-GIS och GeoJSON</w:t>
      </w:r>
    </w:p>
    <w:p>
      <w:pPr>
        <w:spacing w:after="120"/>
      </w:pPr>
      <w:r>
        <w:t xml:space="preserve">Ska lagret in i ett webb-GIS, fyll i </w:t>
      </w:r>
      <w:r>
        <w:rPr>
          <w:b/>
          <w:bCs/>
        </w:rPr>
        <w:t xml:space="preserve">GeoJSON för webb-GIS</w:t>
      </w:r>
      <w:r>
        <w:t xml:space="preserve"> i verktyget. Filen skrivs enligt GeoJSON-standarden (RFC 7946): koordinater i WGS84 (EPSG:4326), två dimensioner, ingen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crs</w:t>
      </w:r>
      <w:r>
        <w:t xml:space="preserve">-uppgift, UTF-8. ArcMaps egen export (Features To JSON) behåller kartans koordinatsystem (SWEREF 99 18 00) och Z/M-värden, vilket de flesta webbkartor inte läser – det är skillnaden.</w:t>
      </w:r>
    </w:p>
    <w:p>
      <w:pPr>
        <w:spacing w:after="120"/>
      </w:pPr>
      <w:r>
        <w:t xml:space="preserve">Ska shapefilen delas: en shapefil består av minst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.shp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.dbf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.prj</w:t>
      </w:r>
      <w:r>
        <w:t xml:space="preserve"> – alla fyra måste följa med (plus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.cpg</w:t>
      </w:r>
      <w:r>
        <w:t xml:space="preserve"> för åäö).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 går filen inte att öppna någonstans. Lagret skrivs sedan version 2 i 2D, eftersom Z-värdena i ledningsnätverket är odefinierade (−9999) och 3D-shapefiler stoppar många webb-GIS.</w:t>
      </w:r>
    </w:p>
    <w:p>
      <w:pPr>
        <w:pStyle w:val="Heading2"/>
      </w:pPr>
      <w:r>
        <w:t xml:space="preserve">7.5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--behall-rapporter</w:t>
      </w:r>
      <w:r>
        <w:t xml:space="preserve"> vid omkörningar så skrivs bara rapporter som saknas,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2026-09-27T11:36:39.090Z</dcterms:created>
  <dcterms:modified xsi:type="dcterms:W3CDTF">2026-09-27T11:36:39.090Z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