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kör utan flaggan (eller töm mappen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</w:t>
            </w:r>
            <w:r>
              <w:t xml:space="preserve">)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index m.m.), schematisk översikt med skador och anslutningar, observationstabell färgad efter grad, inklinometerprofil med lutning och svacka, samt de fotografier som hittats i mediamapparna. Bildnamnen i observationstabellen är klickbara och hoppar till fotografiet längre bak i rapporten.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 i driftindex.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av konstruktionskoder inbördes, t.ex. {"YTS": 0.7}.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bara graden avgör.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None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LOPANDE_ENHET_M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Längd (m) per poängenhet för löpande skador: poäng × längd / enhet, minst 1.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räkna en gång oavsett längd.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LOPANDE_TAK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Högsta faktor en löpande skada kan få.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inget tak.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GRAD4_KODER_A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där en enda grad 4-observation räcker för klass A.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alla konstruktionskoder.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RBR, DEF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2026-09-27T07:40:47.695Z</dcterms:created>
  <dcterms:modified xsi:type="dcterms:W3CDTF">2026-09-27T07:40:47.696Z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