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kan viktas inbördes med </w:t>
      </w:r>
      <w:r>
        <w:rPr>
          <w:rFonts w:ascii="Consolas" w:cs="Consolas" w:eastAsia="Consolas" w:hAnsi="Consolas"/>
          <w:sz w:val="20"/>
          <w:szCs w:val="20"/>
          <w:shd w:fill="F2F2F2" w:val="clear"/>
        </w:rPr>
        <w:t xml:space="preserve">KODFAKTOR</w:t>
      </w:r>
      <w:r>
        <w:t xml:space="preserve"> i KONFIG (t.ex. ytskada 0,7 av en spricka med samma grad). Som standard är viktningen avstängd och bara graden avgör poängen.</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+ 10 + 10 × 3,5 = 315. Konstruktionsindex: 315 / 35,1 × 100 = 898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2026-09-27T07:40:47.708Z</dcterms:created>
  <dcterms:modified xsi:type="dcterms:W3CDTF">2026-09-27T07:40:47.708Z</dcterms:modified>
</cp:coreProperties>
</file>

<file path=docProps/custom.xml><?xml version="1.0" encoding="utf-8"?>
<Properties xmlns="http://schemas.openxmlformats.org/officeDocument/2006/custom-properties" xmlns:vt="http://schemas.openxmlformats.org/officeDocument/2006/docPropsVTypes"/>
</file>