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 (mönstret </w:t>
      </w:r>
      <w:r>
        <w:rPr>
          <w:rFonts w:ascii="Consolas" w:cs="Consolas" w:eastAsia="Consolas" w:hAnsi="Consolas"/>
          <w:sz w:val="20"/>
          <w:szCs w:val="20"/>
          <w:shd w:fill="F2F2F2" w:val="clear"/>
        </w:rPr>
        <w:t xml:space="preserve">GRENROR_LITTERA</w:t>
      </w:r>
      <w:r>
        <w:t xml:space="preserve"> i KONFIG)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Har analysen hittat GIS-vägen via andra brunnar (filmen gick förbi brunnar utan att stanna, se 7.11) får sträckan passera just de brunnarna även om max hopp är lägre, och loggen räknar dem.</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2026-10-06T19:09:12.484Z</dcterms:created>
  <dcterms:modified xsi:type="dcterms:W3CDTF">2026-10-06T19:09:12.484Z</dcterms:modified>
</cp:coreProperties>
</file>

<file path=docProps/custom.xml><?xml version="1.0" encoding="utf-8"?>
<Properties xmlns="http://schemas.openxmlformats.org/officeDocument/2006/custom-properties" xmlns:vt="http://schemas.openxmlformats.org/officeDocument/2006/docPropsVTypes"/>
</file>