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är uppdelad i fyra undermappar (verktygsgrupper). Dialogerna kommer ihåg de värden du valde senast, i </w:t>
      </w:r>
      <w:r>
        <w:rPr>
          <w:rFonts w:ascii="Consolas" w:cs="Consolas" w:eastAsia="Consolas" w:hAnsi="Consolas"/>
          <w:sz w:val="20"/>
          <w:szCs w:val="20"/>
          <w:shd w:fill="F2F2F2" w:val="clear"/>
        </w:rPr>
        <w:t xml:space="preserve">arcmap/senaste_val.json</w:t>
      </w:r>
      <w:r>
        <w:t xml:space="preserve">.</w:t>
      </w:r>
    </w:p>
    <w:p>
      <w:pPr>
        <w:spacing w:after="120"/>
      </w:pPr>
      <w:r>
        <w:rPr>
          <w:b/>
          <w:bCs/>
        </w:rPr>
        <w:t xml:space="preserve">TV-inspektion</w:t>
      </w:r>
      <w:r>
        <w:t xml:space="preserve"> – verktygen som bygger på analysen av TV3-filerna</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spacing w:after="120"/>
      </w:pPr>
      <w:r>
        <w:rPr>
          <w:b/>
          <w:bCs/>
        </w:rPr>
        <w:t xml:space="preserve">Områdesanalys</w:t>
      </w:r>
      <w:r>
        <w:t xml:space="preserve"> – analys av ett område oberoende av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pStyle w:val="ListParagraph"/>
        <w:numPr>
          <w:ilvl w:val="0"/>
          <w:numId w:val="3"/>
        </w:numPr>
        <w:spacing w:after="80"/>
      </w:pPr>
      <w:r>
        <w:rPr>
          <w:b/>
          <w:bCs/>
        </w:rPr>
        <w:t xml:space="preserve">Uppdatera inventeringslager</w:t>
      </w:r>
      <w:r>
        <w:t xml:space="preserve"> – skriver resultatet från </w:t>
      </w:r>
      <w:r>
        <w:rPr>
          <w:rFonts w:ascii="Consolas" w:cs="Consolas" w:eastAsia="Consolas" w:hAnsi="Consolas"/>
          <w:sz w:val="20"/>
          <w:szCs w:val="20"/>
          <w:shd w:fill="F2F2F2" w:val="clear"/>
        </w:rPr>
        <w:t xml:space="preserve">ledning_analys.py</w:t>
      </w:r>
      <w:r>
        <w:t xml:space="preserve"> (</w:t>
      </w:r>
      <w:r>
        <w:rPr>
          <w:rFonts w:ascii="Consolas" w:cs="Consolas" w:eastAsia="Consolas" w:hAnsi="Consolas"/>
          <w:sz w:val="20"/>
          <w:szCs w:val="20"/>
          <w:shd w:fill="F2F2F2" w:val="clear"/>
        </w:rPr>
        <w:t xml:space="preserve">ledningsresultat.json</w:t>
      </w:r>
      <w:r>
        <w:t xml:space="preserve">) till fält på de lokala ledningslagren, så att kartan kan färgas efter schaktgrupp, djupklass eller metod (avsnitt 7.16).</w:t>
      </w:r>
    </w:p>
    <w:p>
      <w:pPr>
        <w:pStyle w:val="ListParagraph"/>
        <w:numPr>
          <w:ilvl w:val="0"/>
          <w:numId w:val="3"/>
        </w:numPr>
        <w:spacing w:after="80"/>
      </w:pPr>
      <w:r>
        <w:rPr>
          <w:b/>
          <w:bCs/>
        </w:rPr>
        <w:t xml:space="preserve">Kartor för området (PDF)</w:t>
      </w:r>
      <w:r>
        <w:t xml:space="preserve"> – en översiktskarta per område med informationsruta, en karta per schaktgrupp och kartblad med ledningarnas id (avsnitt 7.17).</w:t>
      </w:r>
    </w:p>
    <w:p>
      <w:pPr>
        <w:spacing w:after="120"/>
      </w:pPr>
      <w:r>
        <w:rPr>
          <w:b/>
          <w:bCs/>
        </w:rPr>
        <w:t xml:space="preserve">Projektering</w:t>
      </w:r>
      <w:r>
        <w:t xml:space="preserve"> – nya VA-stråk</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rPr>
          <w:b/>
          <w:bCs/>
        </w:rPr>
        <w:t xml:space="preserve">Hjälpverktyg</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längs ledningen (</w:t>
      </w:r>
      <w:r>
        <w:rPr>
          <w:rFonts w:ascii="Consolas" w:cs="Consolas" w:eastAsia="Consolas" w:hAnsi="Consolas"/>
          <w:sz w:val="20"/>
          <w:szCs w:val="20"/>
          <w:shd w:fill="F2F2F2" w:val="clear"/>
        </w:rPr>
        <w:t xml:space="preserve">profil</w:t>
      </w:r>
      <w:r>
        <w:t xml:space="preserve"> i filen: meter, mark, vattengång). Med en höjdmodell som raster tas en markhöjd per rastercell (cellstorleken läses ur rastret, t.ex. 0,25 m eller 1 m, och höjden interpoleras mellan cellmitterna) så att profilen får höjdmodellens detaljeringsgrad; med flera rutor gäller den minsta cellstorleken. Ett annat avstånd kan anges under *Markhöjd* (*avstånd mellan markhöjderna*, minst 0,1 m); med ett punktlager används provtätheten (1 m). Provtätheten under Inställningar styr bara parallella ledningar, serviser och samma grav: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Brunnar vid ledningarna.</w:t>
      </w:r>
      <w:r>
        <w:t xml:space="preserve"> En ledning delas där en brunn ligger inom toleransen från linjen. Vid varje ledningsände används bara den brunn som ligger närmast änden; andra brunnar inom toleransen där (t.ex. dagvattenbrunnen bredvid spillbrunnen) delar inte ledningen. Spill och dag blandas inte: brunnens system tas ur brunnstypen (*WellFunction*: SNBL, DNB, KNB …) eller littera, ledningens ur ledningstypen (SSL, DSL, KSL) och vattenlagren är vatten. En spillledning delas aldrig av en dagvattenbrunn den passerar och tvärtom; kombinerade brunnar och ledningar passar till båda, vatten och avlopp hålls isär. Finns bara en brunn av fel system vid en ände används den ändå (hellre än en fri ände). Loggen räknar hur ofta det hände.</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Korta ledningsobjekt (vattenledningar delade vid ventiler och serviser, korta bitar mellan brunnar) kan aldrig nå 10 m – en ledning kortare än 10 m räknas därför som samschakt när den ligger intill grannen på minst 80 % av sin mätbara längd (minst 2 m, bitarna närmast en gemensam brunn räknas bort). Ligger tre ledningar bredvid varandra räknas de yttersta i samma grav även om de ligger längre isär än avståndet, så länge kedjan av grannar håller ihop (upp till 3 × parallellavståndet). Anslutningar i gemensam brunn och korsningar räknas inte som parallella (par under 20 % som inte är samschakt listas inte).</w:t>
      </w:r>
    </w:p>
    <w:p>
      <w:pPr>
        <w:pStyle w:val="ListParagraph"/>
        <w:numPr>
          <w:ilvl w:val="0"/>
          <w:numId w:val="3"/>
        </w:numPr>
        <w:spacing w:after="80"/>
      </w:pPr>
      <w:r>
        <w:rPr>
          <w:b/>
          <w:bCs/>
        </w:rPr>
        <w:t xml:space="preserve">Områden, trafiktillägg och provisorier.</w:t>
      </w:r>
      <w:r>
        <w:t xml:space="preserve"> Under Inställningar väljs fältet med områdets namn i områdeslagret och, om de finns, fälten med procentpåslag för trafiktillägg (</w:t>
      </w:r>
      <w:r>
        <w:rPr>
          <w:rFonts w:ascii="Consolas" w:cs="Consolas" w:eastAsia="Consolas" w:hAnsi="Consolas"/>
          <w:sz w:val="20"/>
          <w:szCs w:val="20"/>
          <w:shd w:fill="F2F2F2" w:val="clear"/>
        </w:rPr>
        <w:t xml:space="preserve">TRAFIKPASLAG</w:t>
      </w:r>
      <w:r>
        <w:t xml:space="preserve">, t.ex. 10, 30 eller 60) och provisorier (</w:t>
      </w:r>
      <w:r>
        <w:rPr>
          <w:rFonts w:ascii="Consolas" w:cs="Consolas" w:eastAsia="Consolas" w:hAnsi="Consolas"/>
          <w:sz w:val="20"/>
          <w:szCs w:val="20"/>
          <w:shd w:fill="F2F2F2" w:val="clear"/>
        </w:rPr>
        <w:t xml:space="preserve">PROVISORIER</w:t>
      </w:r>
      <w:r>
        <w:t xml:space="preserve">). Varje ledning får området där dess mittpunkt ligger och områdets påslag; områdena listas i </w:t>
      </w:r>
      <w:r>
        <w:rPr>
          <w:rFonts w:ascii="Consolas" w:cs="Consolas" w:eastAsia="Consolas" w:hAnsi="Consolas"/>
          <w:sz w:val="20"/>
          <w:szCs w:val="20"/>
          <w:shd w:fill="F2F2F2" w:val="clear"/>
        </w:rPr>
        <w:t xml:space="preserve">ledningsdata.json</w:t>
      </w:r>
      <w:r>
        <w:t xml:space="preserve">. Lägg fälten på områdespolygonerna i GIS och fyll i dem per område (t.ex. 30 för Lövstavägen) innan du kör verktyget.</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Investeringskalkyl.</w:t>
      </w:r>
      <w:r>
        <w:t xml:space="preserve"> Fliken räknar fram Tabell A (planeringsbudget) och Tabell B (indikativ totalbudget) för inriktningsbeslut (BP2) som i SVOA:s kalkylmall, för båda alternativen. Entreprenaden är de jämförbara ledningarnas kostnad plus påslagen för material som SVOA tillhandahåller (AFC.1522, 3 %) och arbeten som SVOA utför (AFC.114, 3 %) på rörspräckning och helschakt (inte infodring), trafiktillägg och provisorier per område och ett vintertillägg. Byggherrekostnaderna är procent av entreprenaden: planerafasen projekt- och byggledning 1 %, projektering 5 %, geo/mark/miljö 3 %, övrigt 1 %; genomförafasen 5, 1, 2 och 2 %. Kända risker 20 % och oförutsett 20 % av summan ovanför. Beloppen avrundas till närmaste 100 000-tal. Alla procentsatser står i gula celler överst och kan ändras. Sammanfattningens block *Lägga om eller schaktfritt* visar samma entreprenad med påslagen (kolumnerna *Alt. lägg om inkl. påslag* och *Alt. schaktfritt inkl. påslag* i fliken Ledningar), så att summorna stämmer med Investeringskalkyl; ändras en procentsats där följer sammanfattningen med. Kostnad per schaktgrupp och kolumnerna Alt. lägg om/Alt. schaktfritt är utan påslag.</w:t>
      </w:r>
    </w:p>
    <w:p>
      <w:pPr>
        <w:pStyle w:val="ListParagraph"/>
        <w:numPr>
          <w:ilvl w:val="0"/>
          <w:numId w:val="3"/>
        </w:numPr>
        <w:spacing w:after="80"/>
      </w:pPr>
      <w:r>
        <w:rPr>
          <w:b/>
          <w:bCs/>
        </w:rPr>
        <w:t xml:space="preserve">Reinvestering.</w:t>
      </w:r>
      <w:r>
        <w:t xml:space="preserve"> Fliken jämför att reinvestera nu med att vänta tills den tekniska livslängden är uppnådd, per system och anläggningsdecennium, som nuvärde. Gula celler överst: andel av ledningslängden som åtgärdas (10 %), kalkylränta (3 %), teknisk livslängd (100 år), basår, och förvalda andelar schaktfritt (70 % när livslängden är uppnådd, 0 % nu – resten helschakt). Kostnaden per meter är snittet för ledningarna i raden (Alt. schaktfritt respektive Alt. lägg om inkl. påslag); saknas jämförbara ledningar i raden används systemets snitt. Livslängd kvar = decenniets mitt + livslängden − basår (minst 0, utan anläggningsår halva livslängden) och kan skrivas över per rad, liksom andelarna. Planerad reinvestering diskonteras: kostnad / (1 + ränta)^år kvar; reinvestering nu diskonteras inte. Kolumnen Merkostnad nu är skillnaden i nuvärde. Jämförelsen räknar en cykel – nästa förnyelse efter ytterligare en livslängd ingår inte.</w:t>
      </w:r>
    </w:p>
    <w:p>
      <w:pPr>
        <w:pStyle w:val="ListParagraph"/>
        <w:numPr>
          <w:ilvl w:val="0"/>
          <w:numId w:val="3"/>
        </w:numPr>
        <w:spacing w:after="80"/>
      </w:pPr>
      <w:r>
        <w:rPr>
          <w:b/>
          <w:bCs/>
        </w:rPr>
        <w:t xml:space="preserve">SVOA:s kalkylmall per område.</w:t>
      </w:r>
      <w:r>
        <w:t xml:space="preserve"> Lägg mallen *Mall Kalkyl inriktningsbeslut LEDN* (.xlsx) i samma mapp som </w:t>
      </w:r>
      <w:r>
        <w:rPr>
          <w:rFonts w:ascii="Consolas" w:cs="Consolas" w:eastAsia="Consolas" w:hAnsi="Consolas"/>
          <w:sz w:val="20"/>
          <w:szCs w:val="20"/>
          <w:shd w:fill="F2F2F2" w:val="clear"/>
        </w:rPr>
        <w:t xml:space="preserve">ledning_analys.py</w:t>
      </w:r>
      <w:r>
        <w:t xml:space="preserve"> (eller ange den med </w:t>
      </w:r>
      <w:r>
        <w:rPr>
          <w:rFonts w:ascii="Consolas" w:cs="Consolas" w:eastAsia="Consolas" w:hAnsi="Consolas"/>
          <w:sz w:val="20"/>
          <w:szCs w:val="20"/>
          <w:shd w:fill="F2F2F2" w:val="clear"/>
        </w:rPr>
        <w:t xml:space="preserve">--mall</w:t>
      </w:r>
      <w:r>
        <w:t xml:space="preserve">), så fyller skriptet i en kopia per område och alternativ i undermappen </w:t>
      </w:r>
      <w:r>
        <w:rPr>
          <w:rFonts w:ascii="Consolas" w:cs="Consolas" w:eastAsia="Consolas" w:hAnsi="Consolas"/>
          <w:sz w:val="20"/>
          <w:szCs w:val="20"/>
          <w:shd w:fill="F2F2F2" w:val="clear"/>
        </w:rPr>
        <w:t xml:space="preserve">kalkyler</w:t>
      </w:r>
      <w:r>
        <w:t xml:space="preserve">: </w:t>
      </w:r>
      <w:r>
        <w:rPr>
          <w:rFonts w:ascii="Consolas" w:cs="Consolas" w:eastAsia="Consolas" w:hAnsi="Consolas"/>
          <w:sz w:val="20"/>
          <w:szCs w:val="20"/>
          <w:shd w:fill="F2F2F2" w:val="clear"/>
        </w:rPr>
        <w:t xml:space="preserve">Kalkyl_&lt;område&gt;_schakt.xlsx</w:t>
      </w:r>
      <w:r>
        <w:t xml:space="preserve"> (alla ledningar läggs om) och </w:t>
      </w:r>
      <w:r>
        <w:rPr>
          <w:rFonts w:ascii="Consolas" w:cs="Consolas" w:eastAsia="Consolas" w:hAnsi="Consolas"/>
          <w:sz w:val="20"/>
          <w:szCs w:val="20"/>
          <w:shd w:fill="F2F2F2" w:val="clear"/>
        </w:rPr>
        <w:t xml:space="preserve">Kalkyl_&lt;område&gt;_schaktfritt.xlsx</w:t>
      </w:r>
      <w:r>
        <w:t xml:space="preserve">. Området är ledningens område från Ledningsinventering (fältet med områdets namn), annars fältet OMRADE från Exportera område. Mallen fylls i som om du gjort det för hand: meter per prisrad i fliken Uppgifter (en delsträcka per prisrad), rullistornas prisrad i Entreprenadkalkyl, gropar, servismeter, servistillägg och djuptillägg, slagen spont och provisorier som fritextrader i tabell D och trafiktillägget i tabell E (områdets procent). Byggherrekostnaderna tas som procentsatserna i fliken Alternativ (Rimlighetskontrollens summarader pekar på dem) och kända risker som en fritextrad med 20 % per fas, så att Investeringsärende BP2 blir ifyllt. Bara mallens poster används – hattar räknas som servisinfodring per meter, och ny brunn och framschaktning ingår inte – så summorna skiljer sig något från fliken Investeringskalkyl. Ett pris som saknas i mallen (t.ex. infodring Ø 1000) skrivs som fast pris på raden. Rullistor, bilder och kommentarer i mallen följer med; formlerna räknas när filen öppnas i Excel. </w:t>
      </w:r>
      <w:r>
        <w:rPr>
          <w:rFonts w:ascii="Consolas" w:cs="Consolas" w:eastAsia="Consolas" w:hAnsi="Consolas"/>
          <w:sz w:val="20"/>
          <w:szCs w:val="20"/>
          <w:shd w:fill="F2F2F2" w:val="clear"/>
        </w:rPr>
        <w:t xml:space="preserve">--mall nej</w:t>
      </w:r>
      <w:r>
        <w:t xml:space="preserve"> hoppar över mallarna. Mallen och de ifyllda kalkylerna checkas inte in i repot.</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schaktlängd och kostnaderna per ledning (lager, OID, del), även alt. lägg om per schakttyp – underlaget för verktygen Uppdatera inventeringslager och Kartor för området (7.16, 7.17).</w:t>
      </w:r>
    </w:p>
    <w:p>
      <w:pPr>
        <w:pStyle w:val="ListParagraph"/>
        <w:numPr>
          <w:ilvl w:val="0"/>
          <w:numId w:val="3"/>
        </w:numPr>
        <w:spacing w:after="80"/>
      </w:pPr>
      <w:r>
        <w:rPr>
          <w:b/>
          <w:bCs/>
        </w:rPr>
        <w:t xml:space="preserve">Kartblad i Excel.</w:t>
      </w:r>
      <w:r>
        <w:t xml:space="preserve"> När verktyget Kartor för området har körts ligger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Kör du </w:t>
      </w:r>
      <w:r>
        <w:rPr>
          <w:rFonts w:ascii="Consolas" w:cs="Consolas" w:eastAsia="Consolas" w:hAnsi="Consolas"/>
          <w:sz w:val="20"/>
          <w:szCs w:val="20"/>
          <w:shd w:fill="F2F2F2" w:val="clear"/>
        </w:rPr>
        <w:t xml:space="preserve">ledning_analys.py</w:t>
      </w:r>
      <w:r>
        <w:t xml:space="preserve"> igen får fliken Ledningar kolumnen </w:t>
      </w:r>
      <w:r>
        <w:rPr>
          <w:b/>
          <w:bCs/>
        </w:rPr>
        <w:t xml:space="preserve">Kartblad</w:t>
      </w:r>
      <w:r>
        <w:t xml:space="preserve"> (t.ex. *3, 4*) med länk till bladets PDF, och schaktgruppens nummer länkar till schaktgruppens karta.</w:t>
      </w:r>
    </w:p>
    <w:p>
      <w:pPr>
        <w:pStyle w:val="Heading2"/>
      </w:pPr>
      <w:r>
        <w:t xml:space="preserve">7.16 Uppdatera inventeringslager – resultatet i kartan</w:t>
      </w:r>
    </w:p>
    <w:p>
      <w:pPr>
        <w:spacing w:after="120"/>
      </w:pPr>
      <w:r>
        <w:t xml:space="preserve">Verktyget läser </w:t>
      </w:r>
      <w:r>
        <w:rPr>
          <w:rFonts w:ascii="Consolas" w:cs="Consolas" w:eastAsia="Consolas" w:hAnsi="Consolas"/>
          <w:sz w:val="20"/>
          <w:szCs w:val="20"/>
          <w:shd w:fill="F2F2F2" w:val="clear"/>
        </w:rPr>
        <w:t xml:space="preserve">ledningsresultat.json</w:t>
      </w:r>
      <w:r>
        <w:t xml:space="preserve"> och skriver fält på de lokala ledningslagren (samma lager som valdes i Ledningsinventering, de hittas på namnet): </w:t>
      </w:r>
      <w:r>
        <w:rPr>
          <w:b/>
          <w:bCs/>
        </w:rPr>
        <w:t xml:space="preserve">LEDN_ID</w:t>
      </w:r>
      <w:r>
        <w:t xml:space="preserve"> (ledningens id), </w:t>
      </w:r>
      <w:r>
        <w:rPr>
          <w:b/>
          <w:bCs/>
        </w:rPr>
        <w:t xml:space="preserve">SYS</w:t>
      </w:r>
      <w:r>
        <w:t xml:space="preserve"> (S, D, K, V), </w:t>
      </w:r>
      <w:r>
        <w:rPr>
          <w:b/>
          <w:bCs/>
        </w:rPr>
        <w:t xml:space="preserve">DIM_MM</w:t>
      </w:r>
      <w:r>
        <w:t xml:space="preserve">, </w:t>
      </w:r>
      <w:r>
        <w:rPr>
          <w:b/>
          <w:bCs/>
        </w:rPr>
        <w:t xml:space="preserve">LANGD_M</w:t>
      </w:r>
      <w:r>
        <w:t xml:space="preserve">, </w:t>
      </w:r>
      <w:r>
        <w:rPr>
          <w:b/>
          <w:bCs/>
        </w:rPr>
        <w:t xml:space="preserve">SCHAKT_M</w:t>
      </w:r>
      <w:r>
        <w:t xml:space="preserve"> (ledningens del av schaktlängden), </w:t>
      </w:r>
      <w:r>
        <w:rPr>
          <w:b/>
          <w:bCs/>
        </w:rPr>
        <w:t xml:space="preserve">DJUP_MEDEL</w:t>
      </w:r>
      <w:r>
        <w:t xml:space="preserve">, </w:t>
      </w:r>
      <w:r>
        <w:rPr>
          <w:b/>
          <w:bCs/>
        </w:rPr>
        <w:t xml:space="preserve">DJUPKLASS</w:t>
      </w:r>
      <w:r>
        <w:t xml:space="preserve">, </w:t>
      </w:r>
      <w:r>
        <w:rPr>
          <w:b/>
          <w:bCs/>
        </w:rPr>
        <w:t xml:space="preserve">SCHAKTGRP</w:t>
      </w:r>
      <w:r>
        <w:t xml:space="preserve">, </w:t>
      </w:r>
      <w:r>
        <w:rPr>
          <w:b/>
          <w:bCs/>
        </w:rPr>
        <w:t xml:space="preserve">I_GRAV</w:t>
      </w:r>
      <w:r>
        <w:t xml:space="preserve"> (ledningar i graven), </w:t>
      </w:r>
      <w:r>
        <w:rPr>
          <w:b/>
          <w:bCs/>
        </w:rPr>
        <w:t xml:space="preserve">ALT_OMLAGG</w:t>
      </w:r>
      <w:r>
        <w:t xml:space="preserve"> och </w:t>
      </w:r>
      <w:r>
        <w:rPr>
          <w:b/>
          <w:bCs/>
        </w:rPr>
        <w:t xml:space="preserve">ALT_SKFRI</w:t>
      </w:r>
      <w:r>
        <w:t xml:space="preserve"> (kr), </w:t>
      </w:r>
      <w:r>
        <w:rPr>
          <w:b/>
          <w:bCs/>
        </w:rPr>
        <w:t xml:space="preserve">METOD_SKFR</w:t>
      </w:r>
      <w:r>
        <w:t xml:space="preserve"> (strumpa, rörspräckning eller läggs om), </w:t>
      </w:r>
      <w:r>
        <w:rPr>
          <w:b/>
          <w:bCs/>
        </w:rPr>
        <w:t xml:space="preserve">SCHAKTSATT</w:t>
      </w:r>
      <w:r>
        <w:t xml:space="preserve"> och </w:t>
      </w:r>
      <w:r>
        <w:rPr>
          <w:b/>
          <w:bCs/>
        </w:rPr>
        <w:t xml:space="preserve">ANMARKNING</w:t>
      </w:r>
      <w:r>
        <w:t xml:space="preserve">. Är ett GIS-objekt delat i flera ledningar i inventeringen (en brunn mitt på objektet) summeras längder och kostnader, medeldjupet viktas med längden och schaktgrupp, djupklass och schaktsätt tas från den längsta delen. Objekt som inte finns i resultatet får tomma fält, så att gamla värden inte ligger kvar. Fältnamnen är högst tio tecken, så det fungerar även för shapefiler.</w:t>
      </w:r>
    </w:p>
    <w:p>
      <w:pPr>
        <w:spacing w:after="120"/>
      </w:pPr>
      <w:r>
        <w:t xml:space="preserve">Symbolisera sedan som vanligt i ArcMap, t.ex. *Unique values* på SCHAKTGRP eller METOD_SKFR, eller på DJUPKLASS, och sätt etiketter med LEDN_ID. Kör verktyget igen när </w:t>
      </w:r>
      <w:r>
        <w:rPr>
          <w:rFonts w:ascii="Consolas" w:cs="Consolas" w:eastAsia="Consolas" w:hAnsi="Consolas"/>
          <w:sz w:val="20"/>
          <w:szCs w:val="20"/>
          <w:shd w:fill="F2F2F2" w:val="clear"/>
        </w:rPr>
        <w:t xml:space="preserve">ledning_analys.py</w:t>
      </w:r>
      <w:r>
        <w:t xml:space="preserve"> har körts om. Lager med klasstillägg (SVOA:s featureklasser) uppdateras automatiskt i en redigeringssession.</w:t>
      </w:r>
    </w:p>
    <w:p>
      <w:pPr>
        <w:pStyle w:val="Heading2"/>
      </w:pPr>
      <w:r>
        <w:t xml:space="preserve">7.17 Kartor för området – översikt, schaktgrupper och kartblad</w:t>
      </w:r>
    </w:p>
    <w:p>
      <w:pPr>
        <w:spacing w:after="120"/>
      </w:pPr>
      <w:r>
        <w:t xml:space="preserve">Verktyget gör PDF-kartor ur </w:t>
      </w:r>
      <w:r>
        <w:rPr>
          <w:rFonts w:ascii="Consolas" w:cs="Consolas" w:eastAsia="Consolas" w:hAnsi="Consolas"/>
          <w:sz w:val="20"/>
          <w:szCs w:val="20"/>
          <w:shd w:fill="F2F2F2" w:val="clear"/>
        </w:rPr>
        <w:t xml:space="preserve">ledningsresultat.json</w:t>
      </w:r>
      <w:r>
        <w:t xml:space="preserve"> i dina A3-mallar (eller i den öppna kartans layout). Kör </w:t>
      </w:r>
      <w:r>
        <w:rPr>
          <w:b/>
          <w:bCs/>
        </w:rPr>
        <w:t xml:space="preserve">Uppdatera inventeringslager</w:t>
      </w:r>
      <w:r>
        <w:t xml:space="preserve"> först, så får kartorna etiketter med ledningens id. Välj resultatfilen (föreslås bredvid den senaste ledningsdata.json), områdeslagret och fältet med områdets namn (samma som i Ledningsinventering) och kryssa i vilka kartor du vill ha. PDF:erna hamnar i undermappen </w:t>
      </w:r>
      <w:r>
        <w:rPr>
          <w:rFonts w:ascii="Consolas" w:cs="Consolas" w:eastAsia="Consolas" w:hAnsi="Consolas"/>
          <w:sz w:val="20"/>
          <w:szCs w:val="20"/>
          <w:shd w:fill="F2F2F2" w:val="clear"/>
        </w:rPr>
        <w:t xml:space="preserve">kartor</w:t>
      </w:r>
      <w:r>
        <w:t xml:space="preserve">.</w:t>
      </w:r>
    </w:p>
    <w:p>
      <w:pPr>
        <w:pStyle w:val="ListParagraph"/>
        <w:numPr>
          <w:ilvl w:val="0"/>
          <w:numId w:val="3"/>
        </w:numPr>
        <w:spacing w:after="80"/>
      </w:pPr>
      <w:r>
        <w:rPr>
          <w:b/>
          <w:bCs/>
        </w:rPr>
        <w:t xml:space="preserve">Områdeskarta</w:t>
      </w:r>
      <w:r>
        <w:t xml:space="preserve"> – en sida per område i den största skala där hela polygonen ryms (1:500 … 1:50 000); verktyget väljer den mall, liggande eller stående, som ger störst skala. En </w:t>
      </w:r>
      <w:r>
        <w:rPr>
          <w:b/>
          <w:bCs/>
        </w:rPr>
        <w:t xml:space="preserve">informationsruta</w:t>
      </w:r>
      <w:r>
        <w:t xml:space="preserve"> visar ledningslängden per ledningstyp på var sin rad (t.ex. *Spillvatten (SSL): 3 210 m*), den totala ledningslängden och den totala schaktlängden – där flera ledningar ligger i samma schakt räknas schaktet en gång. Rutan hamnar i mallens textelement </w:t>
      </w:r>
      <w:r>
        <w:rPr>
          <w:b/>
          <w:bCs/>
        </w:rPr>
        <w:t xml:space="preserve">INFO</w:t>
      </w:r>
      <w:r>
        <w:t xml:space="preserve"> om det finns (lägg in ett textelement och ge det namnet INFO under *Properties &gt; Size and Position &gt; Element Name*, så bestämmer du själv var rutan står); annars läggs den till höger om kartan och kartramen görs smalare. Med kartblad visas bladindelningen med bladnummer på översikten.</w:t>
      </w:r>
    </w:p>
    <w:p>
      <w:pPr>
        <w:pStyle w:val="ListParagraph"/>
        <w:numPr>
          <w:ilvl w:val="0"/>
          <w:numId w:val="3"/>
        </w:numPr>
        <w:spacing w:after="80"/>
      </w:pPr>
      <w:r>
        <w:rPr>
          <w:b/>
          <w:bCs/>
        </w:rPr>
        <w:t xml:space="preserve">Schaktgrupp</w:t>
      </w:r>
      <w:r>
        <w:t xml:space="preserve"> – en karta per schaktgrupp (ledningar som läggs i samma schakt) i minsta skala där gruppen ryms, gruppens ledningar markerade med markeringssymbolen (</w:t>
      </w:r>
      <w:r>
        <w:rPr>
          <w:rFonts w:ascii="Consolas" w:cs="Consolas" w:eastAsia="Consolas" w:hAnsi="Consolas"/>
          <w:sz w:val="20"/>
          <w:szCs w:val="20"/>
          <w:shd w:fill="F2F2F2" w:val="clear"/>
        </w:rPr>
        <w:t xml:space="preserve">arcmap/markering.lyr</w:t>
      </w:r>
      <w:r>
        <w:t xml:space="preserve">, bred gul genomskinlig linje – samma som i Exportera kartor) och etiketter med ledningarnas id. Undertiteln anger område, ledningstyper och antal ledningar.</w:t>
      </w:r>
    </w:p>
    <w:p>
      <w:pPr>
        <w:pStyle w:val="ListParagraph"/>
        <w:numPr>
          <w:ilvl w:val="0"/>
          <w:numId w:val="3"/>
        </w:numPr>
        <w:spacing w:after="80"/>
      </w:pPr>
      <w:r>
        <w:rPr>
          <w:b/>
          <w:bCs/>
        </w:rPr>
        <w:t xml:space="preserve">Kartblad</w:t>
      </w:r>
      <w:r>
        <w:t xml:space="preserve"> – området delat i blad i en fast skala (standard 1:1000) med 5 % överlapp; bara blad som täcker området eller dess ledningar tas med. Verktyget väljer den orientering som ger minst antal blad. Varje blad har ledningarnas id som etiketter, titeln *Område X – kartblad 3 av 12* och de angränsande bladen i undertiteln. Översikten och bladen samlas i </w:t>
      </w:r>
      <w:r>
        <w:rPr>
          <w:rFonts w:ascii="Consolas" w:cs="Consolas" w:eastAsia="Consolas" w:hAnsi="Consolas"/>
          <w:sz w:val="20"/>
          <w:szCs w:val="20"/>
          <w:shd w:fill="F2F2F2" w:val="clear"/>
        </w:rPr>
        <w:t xml:space="preserve">kartblad_&lt;område&gt;.pdf</w:t>
      </w:r>
      <w:r>
        <w:t xml:space="preserve">. Bladnumren skrivs till ledningarna i fältet </w:t>
      </w:r>
      <w:r>
        <w:rPr>
          <w:b/>
          <w:bCs/>
        </w:rPr>
        <w:t xml:space="preserve">KARTBLAD</w:t>
      </w:r>
      <w:r>
        <w:t xml:space="preserve"> (en ledning i överlappet får båda numren) och sökvägen till bladets PDF i </w:t>
      </w:r>
      <w:r>
        <w:rPr>
          <w:b/>
          <w:bCs/>
        </w:rPr>
        <w:t xml:space="preserve">KARTA</w:t>
      </w:r>
      <w:r>
        <w:t xml:space="preserve">; </w:t>
      </w:r>
      <w:r>
        <w:rPr>
          <w:b/>
          <w:bCs/>
        </w:rPr>
        <w:t xml:space="preserve">GRUPPKARTA</w:t>
      </w:r>
      <w:r>
        <w:t xml:space="preserve"> pekar på schaktgruppens karta – båda fungerar som hyperlänkar (*Display &gt; Support Hyperlinks using field*). Samma uppgifter skrivs till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som </w:t>
      </w:r>
      <w:r>
        <w:rPr>
          <w:rFonts w:ascii="Consolas" w:cs="Consolas" w:eastAsia="Consolas" w:hAnsi="Consolas"/>
          <w:sz w:val="20"/>
          <w:szCs w:val="20"/>
          <w:shd w:fill="F2F2F2" w:val="clear"/>
        </w:rPr>
        <w:t xml:space="preserve">ledning_analys.py</w:t>
      </w:r>
      <w:r>
        <w:t xml:space="preserve"> lägger i Excel (7.15). Bladgränserna kan få en egen symbol: spara en linjesymbol som </w:t>
      </w:r>
      <w:r>
        <w:rPr>
          <w:rFonts w:ascii="Consolas" w:cs="Consolas" w:eastAsia="Consolas" w:hAnsi="Consolas"/>
          <w:sz w:val="20"/>
          <w:szCs w:val="20"/>
          <w:shd w:fill="F2F2F2" w:val="clear"/>
        </w:rPr>
        <w:t xml:space="preserve">arcmap/kartblad.lyr</w:t>
      </w:r>
      <w:r>
        <w:t xml:space="preserve">.</w:t>
      </w:r>
    </w:p>
    <w:p>
      <w:pPr>
        <w:spacing w:after="120"/>
      </w:pPr>
      <w:r>
        <w:t xml:space="preserve">Mallarna sparas inte, och i den öppna kartan återställs allt efteråt – de tillfälliga lagren tas bort, etiketterna och kartramens storlek blir som förut. Textelementen TITEL, UNDERTITEL och SKALA fylls i om de finns. Samlade PDF:er: </w:t>
      </w:r>
      <w:r>
        <w:rPr>
          <w:rFonts w:ascii="Consolas" w:cs="Consolas" w:eastAsia="Consolas" w:hAnsi="Consolas"/>
          <w:sz w:val="20"/>
          <w:szCs w:val="20"/>
          <w:shd w:fill="F2F2F2" w:val="clear"/>
        </w:rPr>
        <w:t xml:space="preserve">kartor_omraden.pdf</w:t>
      </w:r>
      <w:r>
        <w:t xml:space="preserve">, </w:t>
      </w:r>
      <w:r>
        <w:rPr>
          <w:rFonts w:ascii="Consolas" w:cs="Consolas" w:eastAsia="Consolas" w:hAnsi="Consolas"/>
          <w:sz w:val="20"/>
          <w:szCs w:val="20"/>
          <w:shd w:fill="F2F2F2" w:val="clear"/>
        </w:rPr>
        <w:t xml:space="preserve">kartor_schaktgrupper.pdf</w:t>
      </w:r>
      <w:r>
        <w:t xml:space="preserve"> och </w:t>
      </w:r>
      <w:r>
        <w:rPr>
          <w:rFonts w:ascii="Consolas" w:cs="Consolas" w:eastAsia="Consolas" w:hAnsi="Consolas"/>
          <w:sz w:val="20"/>
          <w:szCs w:val="20"/>
          <w:shd w:fill="F2F2F2" w:val="clear"/>
        </w:rPr>
        <w:t xml:space="preserve">kartblad_&lt;område&gt;.pdf</w:t>
      </w:r>
      <w:r>
        <w:t xml:space="preserve">. Mappen för Citrix (*Mapp med kartorna som den här datorn ser den*) används i fälten och i kartblad.csv i stället för utdatamappen.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2026-10-23T10:57:08.471Z</dcterms:created>
  <dcterms:modified xsi:type="dcterms:W3CDTF">2026-10-23T10:57:08.471Z</dcterms:modified>
</cp:coreProperties>
</file>

<file path=docProps/custom.xml><?xml version="1.0" encoding="utf-8"?>
<Properties xmlns="http://schemas.openxmlformats.org/officeDocument/2006/custom-properties" xmlns:vt="http://schemas.openxmlformats.org/officeDocument/2006/docPropsVTypes"/>
</file>