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Filmstatus (ersatt av nyare film, sammanslagen av två delfilmer – se avsnitt 8)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och Anläggningsår.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4, 2,0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(ert eget urval återställs efteråt);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Har du angett ett markeringslager visas sträckan med det; annars läggs en tillfällig kopia av sträcklagret överst i dataramen (namnet *Aktuell sträcka (export)*) med en definitionsfråga på den aktuella sträckan, och kopian tas bort när exporten är klar.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och använder dess längd och vattengång i ändarna som kartlängd och GIS-nivåer.</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2026-10-04T21:22:54.245Z</dcterms:created>
  <dcterms:modified xsi:type="dcterms:W3CDTF">2026-10-04T21:22:54.245Z</dcterms:modified>
</cp:coreProperties>
</file>

<file path=docProps/custom.xml><?xml version="1.0" encoding="utf-8"?>
<Properties xmlns="http://schemas.openxmlformats.org/officeDocument/2006/custom-properties" xmlns:vt="http://schemas.openxmlformats.org/officeDocument/2006/docPropsVTypes"/>
</file>