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(kamera/inspektion avbruten, oavsett angiven orsak), eller den filmade längden är kortare än 85 % av ledningens längd i kartan;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eller som omfilmning efter spolning. Den nyaste hela filmen gäller och äldre eller ofullständiga filmer räknas inte; två avbrutna filmer från var sin brunn slås ihop till en sträcka med observationerna på en gemensam axel, där den nyare filmen gäller i överlappet. Finns samma sträcka i en äldre TV3-fil (tidigare inspektionsomgång) gäller den nyaste och den äldre redovisas som referens: klass och index då mot nu, och om sträckan förvärrats.</w:t>
      </w:r>
    </w:p>
    <w:p>
      <w:pPr>
        <w:pStyle w:val="ListParagraph"/>
        <w:numPr>
          <w:ilvl w:val="0"/>
          <w:numId w:val="2"/>
        </w:numPr>
        <w:spacing w:after="80"/>
      </w:pPr>
      <w:r>
        <w:rPr>
          <w:b/>
          <w:bCs/>
        </w:rPr>
        <w:t xml:space="preserve">Höjdfel i filen</w:t>
      </w:r>
      <w:r>
        <w:t xml:space="preserve"> – brunnshöjder eller inklinometerhöjder i orimlig storleksordning (skillnad över 50 m, eller saknat-värden som −9999) används inte: lutningen anges som okänd och profilen ritas inte. Är bara brunnshöjderna fel räknas lutningen ur inklinometerns ändpunkter.</w:t>
      </w:r>
    </w:p>
    <w:p>
      <w:pPr>
        <w:pStyle w:val="ListParagraph"/>
        <w:numPr>
          <w:ilvl w:val="0"/>
          <w:numId w:val="2"/>
        </w:numPr>
        <w:spacing w:after="80"/>
      </w:pPr>
      <w:r>
        <w:rPr>
          <w:b/>
          <w:bCs/>
        </w:rPr>
        <w:t xml:space="preserve">Kontroll mot kartan</w:t>
      </w:r>
      <w:r>
        <w:t xml:space="preserve"> – med GIS-data flaggas sträckor där film och karta inte stämmer: brunn som saknas i kartan (med förslag på rätt littera), ingen ledning mellan brunnarna, fall eller flödesriktning som avviker från kartans vattengång, annat material eller dimension, renoverad enligt kartan men inte relinad enligt filmen. Flaggorna påverkar inte klassen men pekar ut fel i någondera källan.</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Åtgärdspaket och kostnad</w:t>
      </w:r>
    </w:p>
    <w:p>
      <w:pPr>
        <w:spacing w:after="120"/>
      </w:pPr>
      <w:r>
        <w:t xml:space="preserve">Prioriteringen översätts till en plan i fliken Etapper. Sträckor med gällande klass A (manuell bedömning går före maskinell) får metoden strumpinfodring; relinade sträckor och klass B–E får ingen egen åtgärd. Metoden byts aldrig automatiskt till schakt – det är ett manuellt beslut som skrivs i kolumnen Manuell bedömning, med stöd av flaggan för grad 4-rörbrott och deformation. Sammanhängande sträckor med samma metod bildar en etapp. En eller två B-sträckor i rad mellan två åtgärdssträckor tas med i etappen, liksom en C- eller D-sträcka kortare än 60 m, eftersom en sammanhängande infodring oftast är billigare än två etableringar; B-sträckor i övrigt lämnas till nästa planeringsomgång.</w:t>
      </w:r>
    </w:p>
    <w:p>
      <w:pPr>
        <w:spacing w:after="120"/>
      </w:pPr>
      <w:r>
        <w:t xml:space="preserve">Strumpan installeras från en nedstigningsbrunn. Har en sträcka bara tillsyns- eller rensbrunnar schaktas en brunn fram och ersätts med en nedstigningsbrunn. Framschaktningen räknas per brunn i etappen: en gemensam mittenbrunn mellan två sådana sträckor schaktas fram en gång och ger åtkomst åt båda hållen, och skriptet väljer så få brunnar som möjligt (valet kan låsas manuellt). Punktlagning före strumpning bedöms manuellt i meter; skriptet pekar ut de skador som brukar kräva det.</w:t>
      </w:r>
    </w:p>
    <w:p>
      <w:pPr>
        <w:spacing w:after="120"/>
      </w:pPr>
      <w:r>
        <w:t xml:space="preserve">Kostnaden per strumpsträcka är foder (kr/m efter dimension) × längd + hattar (kr/st) × antal anslutningar + lagning (kr/m) × bedömda meter. Per etapp tillkommer framschaktning och ny brunn per framschaktad brunn samt en fast etablering. Alla belopp kommer ur kostnadsfilen, som i leveransen innehåller schabloner. Schakt kostnadsberäknas inte, eftersom kostnaden beror på djup och spontbehov; schaktsträckor redovisas med längd och dimension så att de inte glöms i summeringen.</w:t>
      </w:r>
    </w:p>
    <w:p>
      <w:pPr>
        <w:pStyle w:val="Heading1"/>
      </w:pPr>
      <w:r>
        <w:t xml:space="preserve">9.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10.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(spricka) + 10 × 0,7 (ytskada, kodvikt) + 3 × 0,5 (hinder, driftskada) = 18,5. Eftersom sträckan är kortare än 20 m används 20 m som nämnare: 18,5 / 20 × 100 = 92,5 p/100 m, varav konstruktion 17 / 20 × 100 = 85. Klass A (konstruktionsindex ≥ 80), men bara med liten marginal – utan kodviktningen hade indexet varit 100.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2026-10-23T10:50:02.663Z</dcterms:created>
  <dcterms:modified xsi:type="dcterms:W3CDTF">2026-10-23T10:50:02.663Z</dcterms:modified>
</cp:coreProperties>
</file>

<file path=docProps/custom.xml><?xml version="1.0" encoding="utf-8"?>
<Properties xmlns="http://schemas.openxmlformats.org/officeDocument/2006/custom-properties" xmlns:vt="http://schemas.openxmlformats.org/officeDocument/2006/docPropsVTypes"/>
</file>