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 Löpande skador (markerade A1 … B1 i filen) räknas </w:t>
      </w:r>
      <w:r>
        <w:rPr>
          <w:b/>
          <w:bCs/>
        </w:rPr>
        <w:t xml:space="preserve">en gång</w:t>
      </w:r>
      <w:r>
        <w:t xml:space="preserve">, vid startmarkeringen; längden på den löpande skadan redovisas separat.</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totalindex, därefter efter högsta konstruktionsgrad.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inte prioritetsklassen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Grad 4-ytskada räcker ensamt för klass A. Det är rimligt för betong (armering kan vara synlig) men kan behöva justeras för andra material.</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Poäng: 9 × 30 + 10 + 10 = 290. Konstruktionsindex: 290 / 35,1 × 100 = 826 p/100 m. Klass A (grad 4 finns),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2026-09-27T06:13:58.530Z</dcterms:created>
  <dcterms:modified xsi:type="dcterms:W3CDTF">2026-09-27T06:13:58.530Z</dcterms:modified>
</cp:coreProperties>
</file>

<file path=docProps/custom.xml><?xml version="1.0" encoding="utf-8"?>
<Properties xmlns="http://schemas.openxmlformats.org/officeDocument/2006/custom-properties" xmlns:vt="http://schemas.openxmlformats.org/officeDocument/2006/docPropsVTypes"/>
</file>