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de två biblioteken som behövs:</w:t>
      </w:r>
    </w:p>
    <w:p>
      <w:pPr>
        <w:shd w:fill="F2F2F2" w:val="clear"/>
        <w:spacing w:after="0"/>
        <w:ind w:left="280"/>
      </w:pPr>
      <w:r>
        <w:rPr>
          <w:rFonts w:ascii="Consolas" w:cs="Consolas" w:eastAsia="Consolas" w:hAnsi="Consolas"/>
          <w:sz w:val="19"/>
          <w:szCs w:val="19"/>
        </w:rPr>
        <w:t xml:space="preserve">pip install openpyxl matplotlib reportlab</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w:t>
      </w:r>
    </w:p>
    <w:p>
      <w:pPr>
        <w:shd w:fill="F2F2F2" w:val="clear"/>
        <w:spacing w:after="0"/>
        <w:ind w:left="280"/>
      </w:pPr>
      <w:r>
        <w:rPr>
          <w:rFonts w:ascii="Consolas" w:cs="Consolas" w:eastAsia="Consolas" w:hAnsi="Consolas"/>
          <w:sz w:val="19"/>
          <w:szCs w:val="19"/>
        </w:rPr>
        <w:t xml:space="preserve">littera: brunnslittera.csv                # ersättningslittera, se 3.3</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med ersättningslittera för brunnar som märkts fel vid filmningen (se 3.3).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3.3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Inspekterad flera ggr, Filmstatus (ersatt av nyare film, sammanslagen av två delfilmer – se avsnitt 8)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och Anläggningsår.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7 om länken inte fungerar).</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4, 2,0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eller B (manuell bedömning om den är ifylld, annars maskinell) får metoden </w:t>
      </w:r>
      <w:r>
        <w:rPr>
          <w:b/>
          <w:bCs/>
        </w:rPr>
        <w:t xml:space="preserve">strumpa</w:t>
      </w:r>
      <w:r>
        <w:t xml:space="preserve">; relinade och klass C–E får ingen åtgärd.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och en C- eller D-sträcka kortare än 60 m mellan två åtgärdssträckor tas med (*medtagen för sammanhang*).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 B</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w:t>
      </w:r>
      <w:r>
        <w:rPr>
          <w:b/>
          <w:bCs/>
        </w:rPr>
        <w:t xml:space="preserve">tv3_analys</w:t>
      </w:r>
      <w:r>
        <w:t xml:space="preserve"> får två verktyg:</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spacing w:after="120"/>
      </w:pPr>
      <w:r>
        <w:t xml:space="preserve">Verktyget läser </w:t>
      </w:r>
      <w:r>
        <w:rPr>
          <w:rFonts w:ascii="Consolas" w:cs="Consolas" w:eastAsia="Consolas" w:hAnsi="Consolas"/>
          <w:sz w:val="20"/>
          <w:szCs w:val="20"/>
          <w:shd w:fill="F2F2F2" w:val="clear"/>
        </w:rPr>
        <w:t xml:space="preserve">kartunderlag.json</w:t>
      </w:r>
      <w:r>
        <w:t xml:space="preserve">, letar upp varje brunnspar i brunnslagret och klipper ut ledningen mellan brunnarna som ett eget objekt. Ledningar som passerar flera brunnar utan att vara uppdelade hanteras: varje vertexpunkt jämförs med närmaste brunn inom toleransen, och max-hopp styr hur många brunnar en sträcka får passera. Utdata i en filgeodatabas rekommenderas; en shapefil fungerar men visar inte fältalias.</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7.4).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KAM/HINDE,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Kör verktyget från layoutvyn.</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sträckan markeras i kartan under exporten. Standard är ArcMaps urvalsfärg (ert eget urval återställs efteråt); tydligare blir det med ett </w:t>
      </w:r>
      <w:r>
        <w:rPr>
          <w:b/>
          <w:bCs/>
        </w:rPr>
        <w:t xml:space="preserve">markeringslager</w:t>
      </w:r>
      <w:r>
        <w:t xml:space="preserve"> – lägg in lagret från Skapa ledningslager en gång till, ge det en bred färgad linje och ange det i dialogen, så sätts dess definitionsfråga till den aktuella sträckan och återställs efteråt.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spara två kopior av kartdokumentet med liggande respektive stående layout (samma lager och textelement) och ange dem under </w:t>
      </w:r>
      <w:r>
        <w:rPr>
          <w:b/>
          <w:bCs/>
        </w:rPr>
        <w:t xml:space="preserve">Mallar</w:t>
      </w:r>
      <w:r>
        <w:t xml:space="preserve">.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och använder dess längd och vattengång i ändarna som kartlängd och GIS-nivåer.</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Rapporten anger hur många bilder som hittades och listar de som saknas.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översikten i protokollet ritar de två filmernas täckning i olika ton med en streckad skarvlinje där de möts (överlapp skrafferat, ofilmad lucka vit) samt en pil per film med brunn och täckt del. Datum och klockslag tas från den nyare filmen. Ersatta filmer och delfilmer ligger kvar i Prioritering utan rang och får egna protokoll, men räknas inte i statistik, karta, åtgärdspaket eller inspektionsgrad.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fldChar w:fldCharType="begin"/>
      <w:instrText xml:space="preserve">PAGE</w:instrText>
      <w:fldChar w:fldCharType="separate"/>
      <w:fldChar w:fldCharType="end"/>
      <w:t xml:space="preserve"> av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2026-10-04T19:05:15.682Z</dcterms:created>
  <dcterms:modified xsi:type="dcterms:W3CDTF">2026-10-04T19:05:15.682Z</dcterms:modified>
</cp:coreProperties>
</file>

<file path=docProps/custom.xml><?xml version="1.0" encoding="utf-8"?>
<Properties xmlns="http://schemas.openxmlformats.org/officeDocument/2006/custom-properties" xmlns:vt="http://schemas.openxmlformats.org/officeDocument/2006/docPropsVTypes"/>
</file>